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PROYECTO:</w:t>
      </w:r>
    </w:p>
    <w:p w:rsidR="00000000" w:rsidDel="00000000" w:rsidP="00000000" w:rsidRDefault="00000000" w:rsidRPr="00000000" w14:paraId="00000004">
      <w:pPr>
        <w:jc w:val="center"/>
        <w:rPr>
          <w:b w:val="1"/>
        </w:rPr>
      </w:pPr>
      <w:r w:rsidDel="00000000" w:rsidR="00000000" w:rsidRPr="00000000">
        <w:rPr>
          <w:b w:val="1"/>
          <w:rtl w:val="0"/>
        </w:rPr>
        <w:t xml:space="preserve"> “EQUIPOS DE SALUD COMO AGENTES EDUCADORES EN MEDIDAS DE SALUD PÚBLICA NO FARMACOLÓGICAS PARA GRUPOS DE POBLACIÓN EN SITUACIÓN DE VULNERABILIDAD”</w:t>
      </w:r>
    </w:p>
    <w:p w:rsidR="00000000" w:rsidDel="00000000" w:rsidP="00000000" w:rsidRDefault="00000000" w:rsidRPr="00000000" w14:paraId="00000005">
      <w:pPr>
        <w:jc w:val="center"/>
        <w:rPr>
          <w:b w:val="1"/>
        </w:rPr>
      </w:pPr>
      <w:r w:rsidDel="00000000" w:rsidR="00000000" w:rsidRPr="00000000">
        <w:rPr>
          <w:b w:val="1"/>
          <w:rtl w:val="0"/>
        </w:rPr>
        <w:t xml:space="preserve">INFORME 22 DE NOVIEMBRE DE 2021</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Resultados y productos alcanzados a la fecha del informe</w:t>
      </w:r>
    </w:p>
    <w:p w:rsidR="00000000" w:rsidDel="00000000" w:rsidP="00000000" w:rsidRDefault="00000000" w:rsidRPr="00000000" w14:paraId="00000009">
      <w:pPr>
        <w:jc w:val="both"/>
        <w:rPr/>
      </w:pPr>
      <w:r w:rsidDel="00000000" w:rsidR="00000000" w:rsidRPr="00000000">
        <w:rPr>
          <w:rtl w:val="0"/>
        </w:rPr>
        <w:t xml:space="preserve">Se estableció como metas que:</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mínimo de 24 Equipos de Salud Municipal relacionado de otra forma con los campus clínicos de UDLA, resultase capacitado en el uso de la Guía.</w:t>
      </w:r>
    </w:p>
    <w:p w:rsidR="00000000" w:rsidDel="00000000" w:rsidP="00000000" w:rsidRDefault="00000000" w:rsidRPr="00000000" w14:paraId="0000000B">
      <w:pPr>
        <w:jc w:val="both"/>
        <w:rPr/>
      </w:pPr>
      <w:r w:rsidDel="00000000" w:rsidR="00000000" w:rsidRPr="00000000">
        <w:rPr>
          <w:rtl w:val="0"/>
        </w:rPr>
        <w:t xml:space="preserve">Un total de 56 participantes vienen participando del ciclo de capacitación, en la modalidad establecida (problematización, información, comunicación, desarrollo de estrategias locales. Se han sumado nuevas comunas al proyecto en los días previos al comienzo de las capacitaciones. Actualmente participan tres comunas por la Región Metropolitana de Santiago (Huechuraba, San Joaquín, Maipú), una de la Región de Valparaíso (Petorca) y tres de la Región del Biobío (Hualpén, Penco y Tomé). La mayoría de las personas participantes son mujeres (71%, ver anexo 2, asistencia), siendo de gran diversidad en sus funciones.  Durante la implementación del proyecto, se han llevado a cabo 6 sesiones, en un total de 21 horas, considerando la sesión de problematización y la de capacitación de la “Guía de orientaciones para la aplicación de medidas de salud pública no farmacológicas en grupos de población en situación de vulnerabilidad en contexto COVID-19”,, desarrollándose en Región metropolitana con las comunas de Huechuraba, San Joaquín y Maipú, con un total de 24 asistentes; Región de Valparaíso, donde siendo convocadas y sosteniendo el compromiso de las municipalidades de Viña del Mar y Petorca, sólo logra participar esta última con 10 integrantes; Región del Bío Bío, con las comunas de Hualpén, Tomé y Penco, con un total de 22 participantes.  </w:t>
      </w:r>
    </w:p>
    <w:p w:rsidR="00000000" w:rsidDel="00000000" w:rsidP="00000000" w:rsidRDefault="00000000" w:rsidRPr="00000000" w14:paraId="0000000C">
      <w:pPr>
        <w:ind w:left="708" w:firstLine="0"/>
        <w:jc w:val="both"/>
        <w:rPr/>
      </w:pPr>
      <w:r w:rsidDel="00000000" w:rsidR="00000000" w:rsidRPr="00000000">
        <w:rPr>
          <w:rtl w:val="0"/>
        </w:rPr>
      </w:r>
    </w:p>
    <w:p w:rsidR="00000000" w:rsidDel="00000000" w:rsidP="00000000" w:rsidRDefault="00000000" w:rsidRPr="00000000" w14:paraId="0000000D">
      <w:pPr>
        <w:ind w:left="708" w:firstLine="0"/>
        <w:jc w:val="both"/>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mínimo de 24 Equipos de Salud incorporase perspectiva intersectorial, derechos humanos y de determinantes en salud, así como habilidades en aprendizaje de técnicas participativas; nociones de alfabetización en salud y comunicación del riesgo, para luego apoyar el empoderamiento comunitario a partir de estrategias locales.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Culminadas la primera fase de problematización y de capacitación en las perspectivas de intersectorialidad, derechos humanos, determinantes sociales de la salud, poblaciones migrantes, pueblos originarios y población en situación de reclusión, las y los participantes de las tres regiones inician la capacitación en Alfabetización en Salud y Gestión del Riesgo con reconocidos académicos, así como con académicas de la propia UDLA.   El 24 de noviembre se desarrollan las relatorías sobre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Comunicación de Riesgo"</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a cargo de Profesor PhD José Miguel Labrín y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"Alfabetización en Salud"</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a cargo de Profesor PhD (c) Juan Pedro Guerrero. La apertura estará a cargo del Decano Osvaldo Artaza Barrios y la síntesis y apertura al trabajo en grupos a cargo de la directora de la Escuela de enfermería Prof. Mónica Valenzuela.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Quienes participen del conjunto de actividades de capacitación del proyecto, recibirán un certificado de Facultad de Salud y Ciencias Sociales, a los efectos de reafirmar el compromiso y dar valor a esta capacitación.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b w:val="1"/>
          <w:rtl w:val="0"/>
        </w:rPr>
        <w:t xml:space="preserve">Productos alcanzados y en proceso:</w:t>
      </w:r>
      <w:r w:rsidDel="00000000" w:rsidR="00000000" w:rsidRPr="00000000">
        <w:rPr>
          <w:rtl w:val="0"/>
        </w:rPr>
        <w:t xml:space="preserve"> </w:t>
      </w:r>
    </w:p>
    <w:p w:rsidR="00000000" w:rsidDel="00000000" w:rsidP="00000000" w:rsidRDefault="00000000" w:rsidRPr="00000000" w14:paraId="00000015">
      <w:pPr>
        <w:jc w:val="both"/>
        <w:rPr/>
      </w:pPr>
      <w:r w:rsidDel="00000000" w:rsidR="00000000" w:rsidRPr="00000000">
        <w:rPr>
          <w:rtl w:val="0"/>
        </w:rPr>
        <w:t xml:space="preserve">Las sesiones han sido grabadas bajo la firma de documento de consentimiento, desarrollándose insumos tanto para el material audiovisual (cápsulas audiovisuales, cortometraje y fotografías) como para la sistematización del proceso.  </w:t>
      </w:r>
    </w:p>
    <w:p w:rsidR="00000000" w:rsidDel="00000000" w:rsidP="00000000" w:rsidRDefault="00000000" w:rsidRPr="00000000" w14:paraId="00000016">
      <w:pPr>
        <w:jc w:val="both"/>
        <w:rPr/>
      </w:pPr>
      <w:r w:rsidDel="00000000" w:rsidR="00000000" w:rsidRPr="00000000">
        <w:rPr>
          <w:rtl w:val="0"/>
        </w:rPr>
        <w:t xml:space="preserve">Se encuentra en proceso el desarrollo de la pestaña en sección web del Departamento de Salud Comunitaria de Facultad de Salud y Ciencias Sociales de Universidad de Las Américas, donde se alojarán los materiales pedagógicos, incluyendo grabación de la temática de Educación para la Salud; Alfabetización en Salud; Comunicación de Riesgo en Salud. </w:t>
      </w:r>
    </w:p>
    <w:p w:rsidR="00000000" w:rsidDel="00000000" w:rsidP="00000000" w:rsidRDefault="00000000" w:rsidRPr="00000000" w14:paraId="00000017">
      <w:pPr>
        <w:jc w:val="both"/>
        <w:rPr/>
      </w:pPr>
      <w:r w:rsidDel="00000000" w:rsidR="00000000" w:rsidRPr="00000000">
        <w:rPr>
          <w:rtl w:val="0"/>
        </w:rPr>
        <w:t xml:space="preserve">También se encuentran en construcción cápsulas audiovisuales sobre educación para la Salud, por parte de reconocida académica de la PUC, Dra. Paula Repetto, la cual viene desarrollando actividades con poblaciones vulnerables en el norte de Chile.</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Descripción dinámica de las capacitaciones por Región</w:t>
      </w:r>
    </w:p>
    <w:p w:rsidR="00000000" w:rsidDel="00000000" w:rsidP="00000000" w:rsidRDefault="00000000" w:rsidRPr="00000000" w14:paraId="0000001C">
      <w:pPr>
        <w:spacing w:line="360" w:lineRule="auto"/>
        <w:jc w:val="both"/>
        <w:rPr/>
      </w:pPr>
      <w:r w:rsidDel="00000000" w:rsidR="00000000" w:rsidRPr="00000000">
        <w:rPr>
          <w:rtl w:val="0"/>
        </w:rPr>
        <w:t xml:space="preserve">Respecto a la ejecución de las sesiones, en cada una de las ciudades referidas, se da cuenta de dinámicas de comunicación y discusión sumamente diversas, con particularidades propias que distinguen a los territorios. A continuación, se describen aspectos visualizados en cada espacio, según la mirada del equipo responsable de la sistematización, en su primera entrega de informes: </w:t>
      </w:r>
    </w:p>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Región Metropolitana de Santiago</w:t>
      </w:r>
    </w:p>
    <w:p w:rsidR="00000000" w:rsidDel="00000000" w:rsidP="00000000" w:rsidRDefault="00000000" w:rsidRPr="00000000" w14:paraId="0000001E">
      <w:pPr>
        <w:spacing w:line="360" w:lineRule="auto"/>
        <w:jc w:val="both"/>
        <w:rPr/>
      </w:pPr>
      <w:r w:rsidDel="00000000" w:rsidR="00000000" w:rsidRPr="00000000">
        <w:rPr>
          <w:rtl w:val="0"/>
        </w:rPr>
        <w:t xml:space="preserve">Las actividades desarrolladas en el Campus Providencia de la ciudad de Santiago contaron con la participación de cinco equipos de salud, provenientes de tres comunas distintas, donde se abordaron realidades disímiles en términos de la población a la que se atiende y al nivel de vulnerabilidad de las mismas. En términos de las narrativas expresadas, se destacan dos puntos: por un lado, la referencia permanente al “Estallido Social” como fenómeno que da inicio a un ciclo político y social que incide en la realidad del país, y en consecuencia, influye en la forma de funcionar de los sistemas de  atención en salud del sector público en la Región Metropolitana; y por otro lado, se releva el rol que los equipos de salud le otorgan a la “comunidad”, como actor que sufre transformaciones en el desarrollo de este proceso, y las modificaciones de los espacios de entrega de estrategias orientadas a la de prevención de contagio por Covid-19. </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Región de Valparaíso</w:t>
      </w:r>
    </w:p>
    <w:p w:rsidR="00000000" w:rsidDel="00000000" w:rsidP="00000000" w:rsidRDefault="00000000" w:rsidRPr="00000000" w14:paraId="00000020">
      <w:pPr>
        <w:spacing w:line="360" w:lineRule="auto"/>
        <w:jc w:val="both"/>
        <w:rPr/>
      </w:pPr>
      <w:r w:rsidDel="00000000" w:rsidR="00000000" w:rsidRPr="00000000">
        <w:rPr>
          <w:rtl w:val="0"/>
        </w:rPr>
        <w:t xml:space="preserve">Respecto a la capacitación desarrollada en el campus de Viña del Mar, se da cuenta que las sesiones desarrolladas contaron con la participación de la comuna de Petorca dado que otras comunas comprometidas previamente no pudieron sumarse por razones de distinto tipo. Esta situación influyó en buena parte de la dinámica ocurrida, favoreciendo espacios de conversación. En términos de las narrativas expresadas, se destacan dos puntos: por un lado, la construcción de un relato local basado en aspectos identitarios de la comuna, eje que determina tanto al equipo de salud como a la población que se atiende en el dispositivo; y por otro lado, la dinámica que se generó con la comunidad, marcada por una vinculación más “institucionalista”, en que las personas operan desde un rol pasivo y con ausencia de organización territorial. </w:t>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Región Bío -Bío</w:t>
      </w:r>
    </w:p>
    <w:p w:rsidR="00000000" w:rsidDel="00000000" w:rsidP="00000000" w:rsidRDefault="00000000" w:rsidRPr="00000000" w14:paraId="00000023">
      <w:pPr>
        <w:spacing w:line="360" w:lineRule="auto"/>
        <w:jc w:val="both"/>
        <w:rPr/>
      </w:pPr>
      <w:r w:rsidDel="00000000" w:rsidR="00000000" w:rsidRPr="00000000">
        <w:rPr>
          <w:rtl w:val="0"/>
        </w:rPr>
        <w:t xml:space="preserve">En cuanto a lo ocurrido en el campus El Boldal de la ciudad de Concepción, el proceso desarrollado en las dos primeras sesiones se llevó a cabo en una jornada extendida, en la que participaron cuatro equipos de salud, que provenían de tres comunas distintas. En términos de las narrativas expresadas, se destacan dos puntos: se releva la comprensión de las poblaciones desde sus determinantes sociales, fundamentalmente asociados a aspectos territoriales de sus comunas, mayormente costeras y vulnerables, construyendo un escenario de precariedad laboral en localidades que se fundaron a partir de caletas de pescadores; y por otro lado, se hacía referencia constante a la ruralidad como factor en la falta de capital cultural respecto a información general de salud, aspecto que provocó escenarios en que las personas tenían poca consciencia de cuidados básicos no asociados al Covid-19, y de esa forma, se hacía mucho más complejo educar a la población y generar cuidados efectivos en los primeros meses de la crisis sanitaria.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Estructura del proceso de sistematización</w:t>
      </w:r>
    </w:p>
    <w:p w:rsidR="00000000" w:rsidDel="00000000" w:rsidP="00000000" w:rsidRDefault="00000000" w:rsidRPr="00000000" w14:paraId="00000025">
      <w:pPr>
        <w:spacing w:line="360" w:lineRule="auto"/>
        <w:jc w:val="both"/>
        <w:rPr/>
      </w:pPr>
      <w:r w:rsidDel="00000000" w:rsidR="00000000" w:rsidRPr="00000000">
        <w:rPr>
          <w:rtl w:val="0"/>
        </w:rPr>
        <w:t xml:space="preserve">En cuanto al proceso de sistematización, el objetivo general determinado es Identificar y describir códigos de relatos y vivencias en las instancias de capacitación al personal de salud de los CESFAM en las regiones de Valparaíso, Bío-Bío y Metropolitana, con énfasis en la identificación de las etapas y dinámicas que marquen el proceso, en función de identificar códigos que se reiteren y que construyan categorías de análisis con fines explicativos de las narrativas visualizadas. </w:t>
      </w:r>
    </w:p>
    <w:p w:rsidR="00000000" w:rsidDel="00000000" w:rsidP="00000000" w:rsidRDefault="00000000" w:rsidRPr="00000000" w14:paraId="00000026">
      <w:pPr>
        <w:spacing w:line="360" w:lineRule="auto"/>
        <w:jc w:val="both"/>
        <w:rPr/>
      </w:pPr>
      <w:r w:rsidDel="00000000" w:rsidR="00000000" w:rsidRPr="00000000">
        <w:rPr>
          <w:rtl w:val="0"/>
        </w:rPr>
        <w:t xml:space="preserve">La base teórica se sitúa en lo que postura Cáceres (2003) respecto al “Análisis de Contenido”, comprendiéndolo como aquello que, en este caso en particular, permita denotar tanto el contenido manifiesto - aspectos referidos concretamente al uso de estrategias no farmacológicas como prevención al contagio por COVID 19 - como el contenido latente - narrativas que aparezcan divergentes a la temática central, asociados, por ejemplo, a emociones/sensaciones vinculadas al impacto de la pandemia en términos simbólicos - de los datos analizados.</w:t>
      </w:r>
    </w:p>
    <w:p w:rsidR="00000000" w:rsidDel="00000000" w:rsidP="00000000" w:rsidRDefault="00000000" w:rsidRPr="00000000" w14:paraId="00000027">
      <w:pPr>
        <w:spacing w:line="360" w:lineRule="auto"/>
        <w:jc w:val="both"/>
        <w:rPr/>
      </w:pPr>
      <w:r w:rsidDel="00000000" w:rsidR="00000000" w:rsidRPr="00000000">
        <w:rPr>
          <w:rtl w:val="0"/>
        </w:rPr>
        <w:t xml:space="preserve"> En concreto, la búsqueda radica en reelaborar los datos brutos que se obtengan como insumo de los Talleres, aglutinando en “clusters” (conjuntos homogéneos) que agrupen información de similar sentido, mediante una lógica de pasos sucesivos que permitan la determinación de reglas definidas que justifiquen dicho agrupamiento ya sea por algún motivo teórico o alguna intencionalidad del equipo investigativo.</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Entrega de avance de Categorías de Análisis (conjunto de Códigos)</w:t>
      </w:r>
    </w:p>
    <w:p w:rsidR="00000000" w:rsidDel="00000000" w:rsidP="00000000" w:rsidRDefault="00000000" w:rsidRPr="00000000" w14:paraId="00000029">
      <w:pPr>
        <w:spacing w:line="360" w:lineRule="auto"/>
        <w:jc w:val="both"/>
        <w:rPr/>
      </w:pPr>
      <w:r w:rsidDel="00000000" w:rsidR="00000000" w:rsidRPr="00000000">
        <w:rPr>
          <w:rtl w:val="0"/>
        </w:rPr>
        <w:t xml:space="preserve">Luego de analizadas las dos primeras sesiones del proceso, en cada una de las tres regiones referidas a investigar por el proyecto, se da cuenta de la visualización incipiente de categorías explicativas de algunas de las narrativas observadas, que si bien, aún deben contrastarse en profundidad y adherirse de sentido con la construcción de estrategias de prevención, permiten desarrollar elementos generales respecto al contenido – concreto y simbólico – de estos espacios. A continuación, se presentan cuatro categorías incipientes: </w:t>
      </w:r>
    </w:p>
    <w:p w:rsidR="00000000" w:rsidDel="00000000" w:rsidP="00000000" w:rsidRDefault="00000000" w:rsidRPr="00000000" w14:paraId="0000002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Hito Fundacional</w:t>
      </w:r>
    </w:p>
    <w:p w:rsidR="00000000" w:rsidDel="00000000" w:rsidP="00000000" w:rsidRDefault="00000000" w:rsidRPr="00000000" w14:paraId="0000002B">
      <w:pPr>
        <w:spacing w:line="360" w:lineRule="auto"/>
        <w:jc w:val="both"/>
        <w:rPr/>
      </w:pPr>
      <w:r w:rsidDel="00000000" w:rsidR="00000000" w:rsidRPr="00000000">
        <w:rPr>
          <w:rtl w:val="0"/>
        </w:rPr>
        <w:t xml:space="preserve">Esta categoría se configura desde los relatos extraídos – fundamentalmente – desde una de las primeras actividades de las capacitaciones, la que consistía en realizar una línea de tiempo del periodo de pandemia, cuya indicación inicial sugería la pregunta “¿qué pasó?”. En esa línea, se da cuenta de aspectos temporales concretos irrefutables, como el primer caso en China, la llegada del virus a Chile y el inicio de las restricciones de movilidad en marzo del 2020. Ahora bien, se visualiza, como punto crítico dentro de la categoría, las alusiones al “Estallido Social” como eje relevante para comprender el impacto de la crisis sanitaria y la forma en que los determinantes sociales elaborados a partir de octubre de 2019 - como la consciencia social respecto a la desigualdad y la crítica al sistema político  - se irguen como los hechos que dan inicio a un periodo de transformaciones mucho más amplio que la pandemia, y en consecuencia, se asocia con muchas otras emociones y se construye desde muchas otras trincheras. </w:t>
      </w:r>
    </w:p>
    <w:p w:rsidR="00000000" w:rsidDel="00000000" w:rsidP="00000000" w:rsidRDefault="00000000" w:rsidRPr="00000000" w14:paraId="0000002C">
      <w:pPr>
        <w:spacing w:line="360" w:lineRule="auto"/>
        <w:jc w:val="both"/>
        <w:rPr/>
      </w:pPr>
      <w:r w:rsidDel="00000000" w:rsidR="00000000" w:rsidRPr="00000000">
        <w:rPr>
          <w:rtl w:val="0"/>
        </w:rPr>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Mito Fundacional</w:t>
      </w:r>
    </w:p>
    <w:p w:rsidR="00000000" w:rsidDel="00000000" w:rsidP="00000000" w:rsidRDefault="00000000" w:rsidRPr="00000000" w14:paraId="0000002F">
      <w:pPr>
        <w:spacing w:line="360" w:lineRule="auto"/>
        <w:jc w:val="both"/>
        <w:rPr/>
      </w:pPr>
      <w:r w:rsidDel="00000000" w:rsidR="00000000" w:rsidRPr="00000000">
        <w:rPr>
          <w:rtl w:val="0"/>
        </w:rPr>
        <w:t xml:space="preserve">La categoría de “Mito Fundacional” se asocia a la misma actividad inicial referida en el punto anterior, más se sustenta en el cúmulo de discusiones y narrativas que surgieron como respuesta emocional/simbólica a los hechos previamente descritos, tanto como personas que vivieron un fenómeno mundial que transformó sus vidas, como desde el rol de trabajadores/as de salud que fueron interpelados como “lideres de una batalla”. En concreto, se da cuenta de una serie amplia y diversa de emociones expresadas, fundamentalmente el pánico, angustia e incertidumbre como elementos más referidos, pero sumamente vinculados a nociones más complejas, como la “falta de empatía por parte de la población”, tanto en el desarrollo de cuidados comunitarios de prevención, como en relación a quienes desempeñaban labores en el sistema de salud; y también en cuanto al “miedo a la muerte”, como código estructurante que representa la ambivalencia de querer combatir al “enemigo”, la sobreexposición que ello implicaba en términos del riesgo individual y, sobre todo, de contagiar a sus familias y cercanos. </w:t>
      </w:r>
    </w:p>
    <w:p w:rsidR="00000000" w:rsidDel="00000000" w:rsidP="00000000" w:rsidRDefault="00000000" w:rsidRPr="00000000" w14:paraId="0000003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estamos obligados a hacer lo imposible”</w:t>
      </w:r>
    </w:p>
    <w:p w:rsidR="00000000" w:rsidDel="00000000" w:rsidP="00000000" w:rsidRDefault="00000000" w:rsidRPr="00000000" w14:paraId="00000031">
      <w:pPr>
        <w:spacing w:line="360" w:lineRule="auto"/>
        <w:jc w:val="both"/>
        <w:rPr/>
      </w:pPr>
      <w:r w:rsidDel="00000000" w:rsidR="00000000" w:rsidRPr="00000000">
        <w:rPr>
          <w:rtl w:val="0"/>
        </w:rPr>
        <w:t xml:space="preserve">Esta categoría en particular está nombrada desde una cita textual extraída de una de las actividades, y se configura como eje explicativo del rol de los/as trabajadores/as de la salud en el combate a la crisis sanitaria. En concreto, se ha visualizado una narrativa común que se funda en la sobre-exigencia a la que se vieron expuestos los equipos de salud, interpelados tanto por las instituciones de poder como por la población, quedando en una posición que se hacía constantemente incómoda y que pocas veces fue recompensada de forma efectiva. En complemento, se reiteran metáforas con lenguaje de guerra en la percepción global de los primeros meses, como la autodefinición de “batallón” y el constante uso del concepto “primera línea” (asociado también a los significados políticos del “Estallido Social”). </w:t>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Vínculo con la comunidad</w:t>
      </w:r>
    </w:p>
    <w:p w:rsidR="00000000" w:rsidDel="00000000" w:rsidP="00000000" w:rsidRDefault="00000000" w:rsidRPr="00000000" w14:paraId="00000033">
      <w:pPr>
        <w:spacing w:line="360" w:lineRule="auto"/>
        <w:jc w:val="both"/>
        <w:rPr/>
      </w:pPr>
      <w:r w:rsidDel="00000000" w:rsidR="00000000" w:rsidRPr="00000000">
        <w:rPr>
          <w:rtl w:val="0"/>
        </w:rPr>
        <w:t xml:space="preserve">Respecto al vínculo de los equipos de salud con las comunidades presentes en sus territorios, esta categoría se evalúa como fundamental en función de cómo se entregan estrategias de prevención ante el Covid-19, profundizando en la percepción del sentir social y, particularmente, en cómo las personas significan a los/as trabajadores/as de la salud. En concreto, se han identificado dos ejes al respecto: por un lado, un vínculo que valida a la comunidad como actor autónomo y capaz de organizarse, comprensión que facilita la entrega de información y transforma la “</w:t>
      </w:r>
      <w:r w:rsidDel="00000000" w:rsidR="00000000" w:rsidRPr="00000000">
        <w:rPr>
          <w:i w:val="1"/>
          <w:rtl w:val="0"/>
        </w:rPr>
        <w:t xml:space="preserve">batalla</w:t>
      </w:r>
      <w:r w:rsidDel="00000000" w:rsidR="00000000" w:rsidRPr="00000000">
        <w:rPr>
          <w:rtl w:val="0"/>
        </w:rPr>
        <w:t xml:space="preserve">” contra la pandemia en una acción común, no aislada; y por otro lado, un vínculo que entiende a la comunidad en un rol pasivo, que “</w:t>
      </w:r>
      <w:r w:rsidDel="00000000" w:rsidR="00000000" w:rsidRPr="00000000">
        <w:rPr>
          <w:i w:val="1"/>
          <w:rtl w:val="0"/>
        </w:rPr>
        <w:t xml:space="preserve">no hace caso</w:t>
      </w:r>
      <w:r w:rsidDel="00000000" w:rsidR="00000000" w:rsidRPr="00000000">
        <w:rPr>
          <w:rtl w:val="0"/>
        </w:rPr>
        <w:t xml:space="preserve">” a las indicaciones de los equipos de salud y que debe ser “</w:t>
      </w:r>
      <w:r w:rsidDel="00000000" w:rsidR="00000000" w:rsidRPr="00000000">
        <w:rPr>
          <w:i w:val="1"/>
          <w:rtl w:val="0"/>
        </w:rPr>
        <w:t xml:space="preserve">retada</w:t>
      </w:r>
      <w:r w:rsidDel="00000000" w:rsidR="00000000" w:rsidRPr="00000000">
        <w:rPr>
          <w:rtl w:val="0"/>
        </w:rPr>
        <w:t xml:space="preserve">”, por sujetos que les hablan desde una posición vertical en un contexto donde priman posiciones de poder. Esta radicalidad en las posturas expresadas también está compuesta de matices que deben ser profundizados y reinterpretados más allá de visiones incipientes, además de ser contrastados con la forma en que los equipos construirán las estrategias de entrega de herramientas no-farmacológicas en la última sesión del proceso de capacitación. </w:t>
      </w:r>
    </w:p>
    <w:p w:rsidR="00000000" w:rsidDel="00000000" w:rsidP="00000000" w:rsidRDefault="00000000" w:rsidRPr="00000000" w14:paraId="00000034">
      <w:pPr>
        <w:rPr/>
      </w:pPr>
      <w:r w:rsidDel="00000000" w:rsidR="00000000" w:rsidRPr="00000000">
        <w:rPr>
          <w:rtl w:val="0"/>
        </w:rPr>
        <w:t xml:space="preserve">En un próximo informe se colocará el énfasis en las miradas de los equipos de salud sobre la vulnerabilidad, las poblaciones vulnerables y la construcción de la vulnerabilidad social ante la pandemia.</w:t>
      </w:r>
    </w:p>
    <w:p w:rsidR="00000000" w:rsidDel="00000000" w:rsidP="00000000" w:rsidRDefault="00000000" w:rsidRPr="00000000" w14:paraId="00000035">
      <w:pPr>
        <w:rPr/>
      </w:pPr>
      <w:r w:rsidDel="00000000" w:rsidR="00000000" w:rsidRPr="00000000">
        <w:rPr>
          <w:rtl w:val="0"/>
        </w:rPr>
        <w:t xml:space="preserve"> A continuación, se presentan los primeros procesamientos sobre los aprendizajes a partir de las instancias de capacitación previas a la instancia de la actividad virtual. Es decir, sobre la instancia de problematización y de capacitación sobre las orientaciones de la Guía. </w:t>
      </w:r>
    </w:p>
    <w:p w:rsidR="00000000" w:rsidDel="00000000" w:rsidP="00000000" w:rsidRDefault="00000000" w:rsidRPr="00000000" w14:paraId="00000036">
      <w:pPr>
        <w:rPr/>
      </w:pPr>
      <w:r w:rsidDel="00000000" w:rsidR="00000000" w:rsidRPr="00000000">
        <w:rPr>
          <w:rtl w:val="0"/>
        </w:rPr>
      </w:r>
    </w:p>
    <w:tbl>
      <w:tblPr>
        <w:tblStyle w:val="Table1"/>
        <w:tblW w:w="12996.0" w:type="dxa"/>
        <w:jc w:val="left"/>
        <w:tblBorders>
          <w:top w:color="f4b083" w:space="0" w:sz="4" w:val="single"/>
          <w:left w:color="ffd965" w:space="0" w:sz="4" w:val="single"/>
          <w:bottom w:color="f4b083" w:space="0" w:sz="4" w:val="single"/>
          <w:right w:color="ffd965" w:space="0" w:sz="4" w:val="single"/>
          <w:insideH w:color="f4b083" w:space="0" w:sz="4" w:val="single"/>
          <w:insideV w:color="f4b083" w:space="0" w:sz="4" w:val="single"/>
        </w:tblBorders>
        <w:tblLayout w:type="fixed"/>
        <w:tblLook w:val="04A0"/>
      </w:tblPr>
      <w:tblGrid>
        <w:gridCol w:w="1881"/>
        <w:gridCol w:w="2153"/>
        <w:gridCol w:w="2567"/>
        <w:gridCol w:w="2368"/>
        <w:gridCol w:w="2055"/>
        <w:gridCol w:w="1972"/>
        <w:tblGridChange w:id="0">
          <w:tblGrid>
            <w:gridCol w:w="1881"/>
            <w:gridCol w:w="2153"/>
            <w:gridCol w:w="2567"/>
            <w:gridCol w:w="2368"/>
            <w:gridCol w:w="2055"/>
            <w:gridCol w:w="1972"/>
          </w:tblGrid>
        </w:tblGridChange>
      </w:tblGrid>
      <w:tr>
        <w:trPr>
          <w:cantSplit w:val="0"/>
          <w:tblHeader w:val="0"/>
        </w:trPr>
        <w:tc>
          <w:tcPr/>
          <w:p w:rsidR="00000000" w:rsidDel="00000000" w:rsidP="00000000" w:rsidRDefault="00000000" w:rsidRPr="00000000" w14:paraId="00000037">
            <w:pPr>
              <w:jc w:val="both"/>
              <w:rPr>
                <w:b w:val="0"/>
                <w:sz w:val="20"/>
                <w:szCs w:val="20"/>
              </w:rPr>
            </w:pPr>
            <w:r w:rsidDel="00000000" w:rsidR="00000000" w:rsidRPr="00000000">
              <w:rPr>
                <w:sz w:val="20"/>
                <w:szCs w:val="20"/>
                <w:rtl w:val="0"/>
              </w:rPr>
              <w:t xml:space="preserve">Etapa Capacitación</w:t>
            </w:r>
            <w:r w:rsidDel="00000000" w:rsidR="00000000" w:rsidRPr="00000000">
              <w:rPr>
                <w:rtl w:val="0"/>
              </w:rPr>
            </w:r>
          </w:p>
        </w:tc>
        <w:tc>
          <w:tcPr/>
          <w:p w:rsidR="00000000" w:rsidDel="00000000" w:rsidP="00000000" w:rsidRDefault="00000000" w:rsidRPr="00000000" w14:paraId="00000038">
            <w:pPr>
              <w:jc w:val="both"/>
              <w:rPr>
                <w:sz w:val="20"/>
                <w:szCs w:val="20"/>
              </w:rPr>
            </w:pPr>
            <w:r w:rsidDel="00000000" w:rsidR="00000000" w:rsidRPr="00000000">
              <w:rPr>
                <w:sz w:val="20"/>
                <w:szCs w:val="20"/>
                <w:rtl w:val="0"/>
              </w:rPr>
              <w:t xml:space="preserve">Resultado de Aprendizajes</w:t>
            </w:r>
          </w:p>
        </w:tc>
        <w:tc>
          <w:tcPr/>
          <w:p w:rsidR="00000000" w:rsidDel="00000000" w:rsidP="00000000" w:rsidRDefault="00000000" w:rsidRPr="00000000" w14:paraId="00000039">
            <w:pPr>
              <w:jc w:val="center"/>
              <w:rPr>
                <w:sz w:val="20"/>
                <w:szCs w:val="20"/>
              </w:rPr>
            </w:pPr>
            <w:r w:rsidDel="00000000" w:rsidR="00000000" w:rsidRPr="00000000">
              <w:rPr>
                <w:sz w:val="20"/>
                <w:szCs w:val="20"/>
                <w:rtl w:val="0"/>
              </w:rPr>
              <w:t xml:space="preserve">Metodología</w:t>
            </w:r>
          </w:p>
        </w:tc>
        <w:tc>
          <w:tcPr/>
          <w:p w:rsidR="00000000" w:rsidDel="00000000" w:rsidP="00000000" w:rsidRDefault="00000000" w:rsidRPr="00000000" w14:paraId="0000003A">
            <w:pPr>
              <w:jc w:val="both"/>
              <w:rPr>
                <w:sz w:val="20"/>
                <w:szCs w:val="20"/>
              </w:rPr>
            </w:pPr>
            <w:r w:rsidDel="00000000" w:rsidR="00000000" w:rsidRPr="00000000">
              <w:rPr>
                <w:sz w:val="20"/>
                <w:szCs w:val="20"/>
                <w:rtl w:val="0"/>
              </w:rPr>
              <w:t xml:space="preserve">Región Metropolitana</w:t>
            </w:r>
          </w:p>
        </w:tc>
        <w:tc>
          <w:tcPr/>
          <w:p w:rsidR="00000000" w:rsidDel="00000000" w:rsidP="00000000" w:rsidRDefault="00000000" w:rsidRPr="00000000" w14:paraId="0000003B">
            <w:pPr>
              <w:jc w:val="both"/>
              <w:rPr>
                <w:sz w:val="20"/>
                <w:szCs w:val="20"/>
              </w:rPr>
            </w:pPr>
            <w:r w:rsidDel="00000000" w:rsidR="00000000" w:rsidRPr="00000000">
              <w:rPr>
                <w:sz w:val="20"/>
                <w:szCs w:val="20"/>
                <w:rtl w:val="0"/>
              </w:rPr>
              <w:t xml:space="preserve">Región Valparaíso</w:t>
            </w:r>
          </w:p>
        </w:tc>
        <w:tc>
          <w:tcPr/>
          <w:p w:rsidR="00000000" w:rsidDel="00000000" w:rsidP="00000000" w:rsidRDefault="00000000" w:rsidRPr="00000000" w14:paraId="0000003C">
            <w:pPr>
              <w:jc w:val="both"/>
              <w:rPr>
                <w:sz w:val="20"/>
                <w:szCs w:val="20"/>
              </w:rPr>
            </w:pPr>
            <w:r w:rsidDel="00000000" w:rsidR="00000000" w:rsidRPr="00000000">
              <w:rPr>
                <w:sz w:val="20"/>
                <w:szCs w:val="20"/>
                <w:rtl w:val="0"/>
              </w:rPr>
              <w:t xml:space="preserve">Región Bío Bío</w:t>
            </w:r>
          </w:p>
        </w:tc>
      </w:tr>
      <w:tr>
        <w:trPr>
          <w:cantSplit w:val="0"/>
          <w:tblHeader w:val="0"/>
        </w:trPr>
        <w:tc>
          <w:tcPr/>
          <w:p w:rsidR="00000000" w:rsidDel="00000000" w:rsidP="00000000" w:rsidRDefault="00000000" w:rsidRPr="00000000" w14:paraId="0000003D">
            <w:pPr>
              <w:jc w:val="both"/>
              <w:rPr>
                <w:b w:val="0"/>
                <w:sz w:val="18"/>
                <w:szCs w:val="18"/>
              </w:rPr>
            </w:pPr>
            <w:r w:rsidDel="00000000" w:rsidR="00000000" w:rsidRPr="00000000">
              <w:rPr>
                <w:sz w:val="18"/>
                <w:szCs w:val="18"/>
                <w:rtl w:val="0"/>
              </w:rPr>
              <w:t xml:space="preserve">Problematización </w:t>
            </w:r>
            <w:r w:rsidDel="00000000" w:rsidR="00000000" w:rsidRPr="00000000">
              <w:rPr>
                <w:rtl w:val="0"/>
              </w:rPr>
            </w:r>
          </w:p>
          <w:p w:rsidR="00000000" w:rsidDel="00000000" w:rsidP="00000000" w:rsidRDefault="00000000" w:rsidRPr="00000000" w14:paraId="0000003E">
            <w:pPr>
              <w:jc w:val="both"/>
              <w:rPr>
                <w:b w:val="0"/>
                <w:i w:val="1"/>
                <w:sz w:val="18"/>
                <w:szCs w:val="18"/>
              </w:rPr>
            </w:pPr>
            <w:r w:rsidDel="00000000" w:rsidR="00000000" w:rsidRPr="00000000">
              <w:rPr>
                <w:b w:val="0"/>
                <w:i w:val="1"/>
                <w:sz w:val="18"/>
                <w:szCs w:val="18"/>
                <w:rtl w:val="0"/>
              </w:rPr>
              <w:t xml:space="preserve">Población en situación de vulnerabilidad</w:t>
            </w:r>
          </w:p>
          <w:p w:rsidR="00000000" w:rsidDel="00000000" w:rsidP="00000000" w:rsidRDefault="00000000" w:rsidRPr="00000000" w14:paraId="0000003F">
            <w:pPr>
              <w:jc w:val="both"/>
              <w:rPr>
                <w:b w:val="0"/>
                <w:i w:val="1"/>
                <w:sz w:val="18"/>
                <w:szCs w:val="18"/>
              </w:rPr>
            </w:pPr>
            <w:r w:rsidDel="00000000" w:rsidR="00000000" w:rsidRPr="00000000">
              <w:rPr>
                <w:b w:val="0"/>
                <w:i w:val="1"/>
                <w:sz w:val="18"/>
                <w:szCs w:val="18"/>
                <w:rtl w:val="0"/>
              </w:rPr>
              <w:t xml:space="preserve">Uso de Medidas no farmacológicas en contexto COVID-19 y realidad local.</w:t>
            </w:r>
          </w:p>
          <w:p w:rsidR="00000000" w:rsidDel="00000000" w:rsidP="00000000" w:rsidRDefault="00000000" w:rsidRPr="00000000" w14:paraId="00000040">
            <w:pPr>
              <w:jc w:val="both"/>
              <w:rPr>
                <w:sz w:val="18"/>
                <w:szCs w:val="18"/>
              </w:rPr>
            </w:pPr>
            <w:r w:rsidDel="00000000" w:rsidR="00000000" w:rsidRPr="00000000">
              <w:rPr>
                <w:b w:val="0"/>
                <w:i w:val="1"/>
                <w:sz w:val="18"/>
                <w:szCs w:val="18"/>
                <w:rtl w:val="0"/>
              </w:rPr>
              <w:t xml:space="preserve">Prácticas desarrolladas por los equipos de salud</w:t>
            </w:r>
            <w:r w:rsidDel="00000000" w:rsidR="00000000" w:rsidRPr="00000000">
              <w:rPr>
                <w:rtl w:val="0"/>
              </w:rPr>
            </w:r>
          </w:p>
        </w:tc>
        <w:tc>
          <w:tcPr/>
          <w:p w:rsidR="00000000" w:rsidDel="00000000" w:rsidP="00000000" w:rsidRDefault="00000000" w:rsidRPr="00000000" w14:paraId="00000041">
            <w:pPr>
              <w:jc w:val="both"/>
              <w:rPr>
                <w:sz w:val="18"/>
                <w:szCs w:val="18"/>
              </w:rPr>
            </w:pPr>
            <w:r w:rsidDel="00000000" w:rsidR="00000000" w:rsidRPr="00000000">
              <w:rPr>
                <w:sz w:val="18"/>
                <w:szCs w:val="18"/>
                <w:rtl w:val="0"/>
              </w:rPr>
              <w:t xml:space="preserve">Formular conceptualizaciones de la situación de vulnerabilidad considerando la realidad local, para la visibilización de las percepciones de los equipos de salud.</w:t>
            </w:r>
          </w:p>
          <w:p w:rsidR="00000000" w:rsidDel="00000000" w:rsidP="00000000" w:rsidRDefault="00000000" w:rsidRPr="00000000" w14:paraId="00000042">
            <w:pPr>
              <w:jc w:val="both"/>
              <w:rPr>
                <w:sz w:val="18"/>
                <w:szCs w:val="18"/>
              </w:rPr>
            </w:pPr>
            <w:r w:rsidDel="00000000" w:rsidR="00000000" w:rsidRPr="00000000">
              <w:rPr>
                <w:rtl w:val="0"/>
              </w:rPr>
            </w:r>
          </w:p>
          <w:p w:rsidR="00000000" w:rsidDel="00000000" w:rsidP="00000000" w:rsidRDefault="00000000" w:rsidRPr="00000000" w14:paraId="00000043">
            <w:pPr>
              <w:jc w:val="both"/>
              <w:rPr>
                <w:sz w:val="18"/>
                <w:szCs w:val="18"/>
              </w:rPr>
            </w:pPr>
            <w:r w:rsidDel="00000000" w:rsidR="00000000" w:rsidRPr="00000000">
              <w:rPr>
                <w:sz w:val="18"/>
                <w:szCs w:val="18"/>
                <w:rtl w:val="0"/>
              </w:rPr>
              <w:t xml:space="preserve">Identificar la utilización de medidas no farmacológicas en la población en situación de vulneración, para visibilizar las percepciones de los equipos de salud.</w:t>
            </w:r>
          </w:p>
          <w:p w:rsidR="00000000" w:rsidDel="00000000" w:rsidP="00000000" w:rsidRDefault="00000000" w:rsidRPr="00000000" w14:paraId="00000044">
            <w:pPr>
              <w:jc w:val="both"/>
              <w:rPr>
                <w:sz w:val="18"/>
                <w:szCs w:val="18"/>
              </w:rPr>
            </w:pPr>
            <w:r w:rsidDel="00000000" w:rsidR="00000000" w:rsidRPr="00000000">
              <w:rPr>
                <w:rtl w:val="0"/>
              </w:rPr>
            </w:r>
          </w:p>
          <w:p w:rsidR="00000000" w:rsidDel="00000000" w:rsidP="00000000" w:rsidRDefault="00000000" w:rsidRPr="00000000" w14:paraId="00000045">
            <w:pPr>
              <w:jc w:val="both"/>
              <w:rPr>
                <w:sz w:val="18"/>
                <w:szCs w:val="18"/>
              </w:rPr>
            </w:pPr>
            <w:r w:rsidDel="00000000" w:rsidR="00000000" w:rsidRPr="00000000">
              <w:rPr>
                <w:sz w:val="18"/>
                <w:szCs w:val="18"/>
                <w:rtl w:val="0"/>
              </w:rPr>
              <w:t xml:space="preserve">Reflexionar sobre las prácticas de los equipos de salud asociadas a la comunicación y alfabetización en salud con la población en situación de vulnerabilidad.</w:t>
            </w:r>
          </w:p>
          <w:p w:rsidR="00000000" w:rsidDel="00000000" w:rsidP="00000000" w:rsidRDefault="00000000" w:rsidRPr="00000000" w14:paraId="00000046">
            <w:pPr>
              <w:jc w:val="both"/>
              <w:rPr>
                <w:sz w:val="18"/>
                <w:szCs w:val="18"/>
              </w:rPr>
            </w:pPr>
            <w:r w:rsidDel="00000000" w:rsidR="00000000" w:rsidRPr="00000000">
              <w:rPr>
                <w:rtl w:val="0"/>
              </w:rPr>
            </w:r>
          </w:p>
        </w:tc>
        <w:tc>
          <w:tcPr/>
          <w:p w:rsidR="00000000" w:rsidDel="00000000" w:rsidP="00000000" w:rsidRDefault="00000000" w:rsidRPr="00000000" w14:paraId="00000047">
            <w:pPr>
              <w:jc w:val="both"/>
              <w:rPr>
                <w:sz w:val="18"/>
                <w:szCs w:val="18"/>
              </w:rPr>
            </w:pPr>
            <w:r w:rsidDel="00000000" w:rsidR="00000000" w:rsidRPr="00000000">
              <w:rPr>
                <w:sz w:val="18"/>
                <w:szCs w:val="18"/>
                <w:rtl w:val="0"/>
              </w:rPr>
              <w:t xml:space="preserve">Uso de técnicas participativas de:</w:t>
            </w:r>
          </w:p>
          <w:p w:rsidR="00000000" w:rsidDel="00000000" w:rsidP="00000000" w:rsidRDefault="00000000" w:rsidRPr="00000000" w14:paraId="00000048">
            <w:pPr>
              <w:jc w:val="both"/>
              <w:rPr>
                <w:sz w:val="18"/>
                <w:szCs w:val="18"/>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Animación</w:t>
            </w:r>
          </w:p>
          <w:p w:rsidR="00000000" w:rsidDel="00000000" w:rsidP="00000000" w:rsidRDefault="00000000" w:rsidRPr="00000000" w14:paraId="0000004A">
            <w:pPr>
              <w:jc w:val="both"/>
              <w:rPr>
                <w:sz w:val="18"/>
                <w:szCs w:val="18"/>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Problematización (línea de tiempo; café del mundo adaptado)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Plenario</w:t>
            </w:r>
          </w:p>
          <w:p w:rsidR="00000000" w:rsidDel="00000000" w:rsidP="00000000" w:rsidRDefault="00000000" w:rsidRPr="00000000" w14:paraId="0000004E">
            <w:pPr>
              <w:jc w:val="both"/>
              <w:rPr>
                <w:sz w:val="18"/>
                <w:szCs w:val="18"/>
              </w:rPr>
            </w:pPr>
            <w:r w:rsidDel="00000000" w:rsidR="00000000" w:rsidRPr="00000000">
              <w:rPr>
                <w:rtl w:val="0"/>
              </w:rPr>
            </w:r>
          </w:p>
        </w:tc>
        <w:tc>
          <w:tcPr/>
          <w:p w:rsidR="00000000" w:rsidDel="00000000" w:rsidP="00000000" w:rsidRDefault="00000000" w:rsidRPr="00000000" w14:paraId="0000004F">
            <w:pPr>
              <w:jc w:val="both"/>
              <w:rPr>
                <w:sz w:val="18"/>
                <w:szCs w:val="18"/>
              </w:rPr>
            </w:pPr>
            <w:r w:rsidDel="00000000" w:rsidR="00000000" w:rsidRPr="00000000">
              <w:rPr>
                <w:sz w:val="18"/>
                <w:szCs w:val="18"/>
                <w:rtl w:val="0"/>
              </w:rPr>
              <w:t xml:space="preserve">Comunas Participantes:</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Huechuraba</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San Joaquín</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Maipú</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jc w:val="both"/>
              <w:rPr>
                <w:sz w:val="18"/>
                <w:szCs w:val="18"/>
              </w:rPr>
            </w:pPr>
            <w:r w:rsidDel="00000000" w:rsidR="00000000" w:rsidRPr="00000000">
              <w:rPr>
                <w:rtl w:val="0"/>
              </w:rPr>
            </w:r>
          </w:p>
          <w:p w:rsidR="00000000" w:rsidDel="00000000" w:rsidP="00000000" w:rsidRDefault="00000000" w:rsidRPr="00000000" w14:paraId="00000055">
            <w:pPr>
              <w:jc w:val="both"/>
              <w:rPr>
                <w:sz w:val="18"/>
                <w:szCs w:val="18"/>
              </w:rPr>
            </w:pPr>
            <w:r w:rsidDel="00000000" w:rsidR="00000000" w:rsidRPr="00000000">
              <w:rPr>
                <w:sz w:val="18"/>
                <w:szCs w:val="18"/>
                <w:rtl w:val="0"/>
              </w:rPr>
              <w:t xml:space="preserve">Descripción:</w:t>
            </w:r>
          </w:p>
          <w:p w:rsidR="00000000" w:rsidDel="00000000" w:rsidP="00000000" w:rsidRDefault="00000000" w:rsidRPr="00000000" w14:paraId="00000056">
            <w:pPr>
              <w:jc w:val="both"/>
              <w:rPr>
                <w:sz w:val="18"/>
                <w:szCs w:val="18"/>
              </w:rPr>
            </w:pPr>
            <w:r w:rsidDel="00000000" w:rsidR="00000000" w:rsidRPr="00000000">
              <w:rPr>
                <w:sz w:val="18"/>
                <w:szCs w:val="18"/>
                <w:rtl w:val="0"/>
              </w:rPr>
              <w:t xml:space="preserve">Se desarrolla trabajo grupal con división gestionada mediante las municipalidades</w:t>
            </w:r>
          </w:p>
          <w:p w:rsidR="00000000" w:rsidDel="00000000" w:rsidP="00000000" w:rsidRDefault="00000000" w:rsidRPr="00000000" w14:paraId="00000057">
            <w:pPr>
              <w:jc w:val="both"/>
              <w:rPr>
                <w:sz w:val="18"/>
                <w:szCs w:val="18"/>
              </w:rPr>
            </w:pPr>
            <w:r w:rsidDel="00000000" w:rsidR="00000000" w:rsidRPr="00000000">
              <w:rPr>
                <w:sz w:val="18"/>
                <w:szCs w:val="18"/>
                <w:rtl w:val="0"/>
              </w:rPr>
              <w:t xml:space="preserve">Los equipos sienten incomodidad inicial respecto de metodologías participativas la que mejora con el paso de la sesión, donde se observa una catarsis colectiva y posteriormente una expresión de la realidad que se vive en los territorios.</w:t>
            </w:r>
          </w:p>
          <w:p w:rsidR="00000000" w:rsidDel="00000000" w:rsidP="00000000" w:rsidRDefault="00000000" w:rsidRPr="00000000" w14:paraId="00000058">
            <w:pPr>
              <w:jc w:val="both"/>
              <w:rPr>
                <w:sz w:val="18"/>
                <w:szCs w:val="18"/>
              </w:rPr>
            </w:pPr>
            <w:r w:rsidDel="00000000" w:rsidR="00000000" w:rsidRPr="00000000">
              <w:rPr>
                <w:rtl w:val="0"/>
              </w:rPr>
            </w:r>
          </w:p>
          <w:p w:rsidR="00000000" w:rsidDel="00000000" w:rsidP="00000000" w:rsidRDefault="00000000" w:rsidRPr="00000000" w14:paraId="00000059">
            <w:pPr>
              <w:jc w:val="both"/>
              <w:rPr>
                <w:sz w:val="18"/>
                <w:szCs w:val="18"/>
              </w:rPr>
            </w:pPr>
            <w:r w:rsidDel="00000000" w:rsidR="00000000" w:rsidRPr="00000000">
              <w:rPr>
                <w:sz w:val="18"/>
                <w:szCs w:val="18"/>
                <w:rtl w:val="0"/>
              </w:rPr>
              <w:t xml:space="preserve">La línea de tiempo se observa como un ejercicio lleno de emociones personales y de situaciones vividas con las personas en situación de vulneración con la que se trabaja</w:t>
            </w:r>
          </w:p>
        </w:tc>
        <w:tc>
          <w:tcPr/>
          <w:p w:rsidR="00000000" w:rsidDel="00000000" w:rsidP="00000000" w:rsidRDefault="00000000" w:rsidRPr="00000000" w14:paraId="0000005A">
            <w:pPr>
              <w:jc w:val="both"/>
              <w:rPr>
                <w:sz w:val="18"/>
                <w:szCs w:val="18"/>
              </w:rPr>
            </w:pPr>
            <w:r w:rsidDel="00000000" w:rsidR="00000000" w:rsidRPr="00000000">
              <w:rPr>
                <w:sz w:val="18"/>
                <w:szCs w:val="18"/>
                <w:rtl w:val="0"/>
              </w:rPr>
              <w:t xml:space="preserve">Comunas Participantes: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Petorca</w:t>
            </w:r>
          </w:p>
          <w:p w:rsidR="00000000" w:rsidDel="00000000" w:rsidP="00000000" w:rsidRDefault="00000000" w:rsidRPr="00000000" w14:paraId="0000005C">
            <w:pPr>
              <w:jc w:val="both"/>
              <w:rPr>
                <w:sz w:val="18"/>
                <w:szCs w:val="18"/>
              </w:rPr>
            </w:pPr>
            <w:r w:rsidDel="00000000" w:rsidR="00000000" w:rsidRPr="00000000">
              <w:rPr>
                <w:rtl w:val="0"/>
              </w:rPr>
            </w:r>
          </w:p>
          <w:p w:rsidR="00000000" w:rsidDel="00000000" w:rsidP="00000000" w:rsidRDefault="00000000" w:rsidRPr="00000000" w14:paraId="0000005D">
            <w:pPr>
              <w:jc w:val="both"/>
              <w:rPr>
                <w:sz w:val="18"/>
                <w:szCs w:val="18"/>
              </w:rPr>
            </w:pPr>
            <w:r w:rsidDel="00000000" w:rsidR="00000000" w:rsidRPr="00000000">
              <w:rPr>
                <w:rtl w:val="0"/>
              </w:rPr>
            </w:r>
          </w:p>
          <w:p w:rsidR="00000000" w:rsidDel="00000000" w:rsidP="00000000" w:rsidRDefault="00000000" w:rsidRPr="00000000" w14:paraId="0000005E">
            <w:pPr>
              <w:jc w:val="both"/>
              <w:rPr>
                <w:sz w:val="18"/>
                <w:szCs w:val="18"/>
              </w:rPr>
            </w:pPr>
            <w:r w:rsidDel="00000000" w:rsidR="00000000" w:rsidRPr="00000000">
              <w:rPr>
                <w:sz w:val="18"/>
                <w:szCs w:val="18"/>
                <w:rtl w:val="0"/>
              </w:rPr>
              <w:t xml:space="preserve">Descripción</w:t>
            </w:r>
          </w:p>
          <w:p w:rsidR="00000000" w:rsidDel="00000000" w:rsidP="00000000" w:rsidRDefault="00000000" w:rsidRPr="00000000" w14:paraId="0000005F">
            <w:pPr>
              <w:jc w:val="both"/>
              <w:rPr>
                <w:sz w:val="18"/>
                <w:szCs w:val="18"/>
              </w:rPr>
            </w:pPr>
            <w:r w:rsidDel="00000000" w:rsidR="00000000" w:rsidRPr="00000000">
              <w:rPr>
                <w:rtl w:val="0"/>
              </w:rPr>
            </w:r>
          </w:p>
          <w:p w:rsidR="00000000" w:rsidDel="00000000" w:rsidP="00000000" w:rsidRDefault="00000000" w:rsidRPr="00000000" w14:paraId="00000060">
            <w:pPr>
              <w:jc w:val="both"/>
              <w:rPr>
                <w:sz w:val="18"/>
                <w:szCs w:val="18"/>
              </w:rPr>
            </w:pPr>
            <w:r w:rsidDel="00000000" w:rsidR="00000000" w:rsidRPr="00000000">
              <w:rPr>
                <w:sz w:val="18"/>
                <w:szCs w:val="18"/>
                <w:rtl w:val="0"/>
              </w:rPr>
              <w:t xml:space="preserve">Dificultades iniciales respecto de la disposición a acceder a aprendizajes con metodologías activas</w:t>
            </w:r>
          </w:p>
          <w:p w:rsidR="00000000" w:rsidDel="00000000" w:rsidP="00000000" w:rsidRDefault="00000000" w:rsidRPr="00000000" w14:paraId="00000061">
            <w:pPr>
              <w:jc w:val="both"/>
              <w:rPr>
                <w:sz w:val="18"/>
                <w:szCs w:val="18"/>
              </w:rPr>
            </w:pPr>
            <w:r w:rsidDel="00000000" w:rsidR="00000000" w:rsidRPr="00000000">
              <w:rPr>
                <w:rtl w:val="0"/>
              </w:rPr>
            </w:r>
          </w:p>
          <w:p w:rsidR="00000000" w:rsidDel="00000000" w:rsidP="00000000" w:rsidRDefault="00000000" w:rsidRPr="00000000" w14:paraId="00000062">
            <w:pPr>
              <w:jc w:val="both"/>
              <w:rPr>
                <w:sz w:val="18"/>
                <w:szCs w:val="18"/>
              </w:rPr>
            </w:pPr>
            <w:r w:rsidDel="00000000" w:rsidR="00000000" w:rsidRPr="00000000">
              <w:rPr>
                <w:sz w:val="18"/>
                <w:szCs w:val="18"/>
                <w:rtl w:val="0"/>
              </w:rPr>
              <w:t xml:space="preserve">La línea de tiempo y el café del mundo adaptado, se observa como un ejercicio donde se desarrolla transparentemente emotividades y sensaciones en el equipo</w:t>
            </w:r>
          </w:p>
          <w:p w:rsidR="00000000" w:rsidDel="00000000" w:rsidP="00000000" w:rsidRDefault="00000000" w:rsidRPr="00000000" w14:paraId="00000063">
            <w:pPr>
              <w:jc w:val="both"/>
              <w:rPr>
                <w:sz w:val="18"/>
                <w:szCs w:val="18"/>
              </w:rPr>
            </w:pPr>
            <w:r w:rsidDel="00000000" w:rsidR="00000000" w:rsidRPr="00000000">
              <w:rPr>
                <w:rtl w:val="0"/>
              </w:rPr>
            </w:r>
          </w:p>
          <w:p w:rsidR="00000000" w:rsidDel="00000000" w:rsidP="00000000" w:rsidRDefault="00000000" w:rsidRPr="00000000" w14:paraId="00000064">
            <w:pPr>
              <w:jc w:val="both"/>
              <w:rPr>
                <w:sz w:val="18"/>
                <w:szCs w:val="18"/>
              </w:rPr>
            </w:pPr>
            <w:r w:rsidDel="00000000" w:rsidR="00000000" w:rsidRPr="00000000">
              <w:rPr>
                <w:rtl w:val="0"/>
              </w:rPr>
            </w:r>
          </w:p>
        </w:tc>
        <w:tc>
          <w:tcPr/>
          <w:p w:rsidR="00000000" w:rsidDel="00000000" w:rsidP="00000000" w:rsidRDefault="00000000" w:rsidRPr="00000000" w14:paraId="00000065">
            <w:pPr>
              <w:jc w:val="both"/>
              <w:rPr>
                <w:sz w:val="18"/>
                <w:szCs w:val="18"/>
              </w:rPr>
            </w:pPr>
            <w:r w:rsidDel="00000000" w:rsidR="00000000" w:rsidRPr="00000000">
              <w:rPr>
                <w:sz w:val="18"/>
                <w:szCs w:val="18"/>
                <w:rtl w:val="0"/>
              </w:rPr>
              <w:t xml:space="preserve">Comunas Participantes: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Hualpén</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Tomé</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Penco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jc w:val="both"/>
              <w:rPr>
                <w:sz w:val="18"/>
                <w:szCs w:val="18"/>
              </w:rPr>
            </w:pPr>
            <w:r w:rsidDel="00000000" w:rsidR="00000000" w:rsidRPr="00000000">
              <w:rPr>
                <w:sz w:val="18"/>
                <w:szCs w:val="18"/>
                <w:rtl w:val="0"/>
              </w:rPr>
              <w:t xml:space="preserve">Descripción</w:t>
            </w:r>
          </w:p>
          <w:p w:rsidR="00000000" w:rsidDel="00000000" w:rsidP="00000000" w:rsidRDefault="00000000" w:rsidRPr="00000000" w14:paraId="0000006B">
            <w:pPr>
              <w:jc w:val="both"/>
              <w:rPr>
                <w:sz w:val="18"/>
                <w:szCs w:val="18"/>
              </w:rPr>
            </w:pPr>
            <w:r w:rsidDel="00000000" w:rsidR="00000000" w:rsidRPr="00000000">
              <w:rPr>
                <w:rtl w:val="0"/>
              </w:rPr>
            </w:r>
          </w:p>
          <w:p w:rsidR="00000000" w:rsidDel="00000000" w:rsidP="00000000" w:rsidRDefault="00000000" w:rsidRPr="00000000" w14:paraId="0000006C">
            <w:pPr>
              <w:jc w:val="both"/>
              <w:rPr>
                <w:sz w:val="18"/>
                <w:szCs w:val="18"/>
              </w:rPr>
            </w:pPr>
            <w:r w:rsidDel="00000000" w:rsidR="00000000" w:rsidRPr="00000000">
              <w:rPr>
                <w:sz w:val="18"/>
                <w:szCs w:val="18"/>
                <w:rtl w:val="0"/>
              </w:rPr>
              <w:t xml:space="preserve">Los equipos demuestran gran disposición, manifiestan entusiasmo y accesibilidad al desarrollo de metodologías participativas.</w:t>
            </w:r>
          </w:p>
          <w:p w:rsidR="00000000" w:rsidDel="00000000" w:rsidP="00000000" w:rsidRDefault="00000000" w:rsidRPr="00000000" w14:paraId="0000006D">
            <w:pPr>
              <w:jc w:val="both"/>
              <w:rPr>
                <w:sz w:val="18"/>
                <w:szCs w:val="18"/>
              </w:rPr>
            </w:pPr>
            <w:r w:rsidDel="00000000" w:rsidR="00000000" w:rsidRPr="00000000">
              <w:rPr>
                <w:rtl w:val="0"/>
              </w:rPr>
            </w:r>
          </w:p>
          <w:p w:rsidR="00000000" w:rsidDel="00000000" w:rsidP="00000000" w:rsidRDefault="00000000" w:rsidRPr="00000000" w14:paraId="0000006E">
            <w:pPr>
              <w:jc w:val="both"/>
              <w:rPr>
                <w:sz w:val="18"/>
                <w:szCs w:val="18"/>
              </w:rPr>
            </w:pPr>
            <w:r w:rsidDel="00000000" w:rsidR="00000000" w:rsidRPr="00000000">
              <w:rPr>
                <w:sz w:val="18"/>
                <w:szCs w:val="18"/>
                <w:rtl w:val="0"/>
              </w:rPr>
              <w:t xml:space="preserve">La línea de tiempo se establece como un ejercicio de evocación importante que inclusive requiere más tiempo del sostenido, el café del tiempo se establece con bastante diálogo y discusión</w:t>
            </w:r>
          </w:p>
          <w:p w:rsidR="00000000" w:rsidDel="00000000" w:rsidP="00000000" w:rsidRDefault="00000000" w:rsidRPr="00000000" w14:paraId="0000006F">
            <w:pPr>
              <w:jc w:val="both"/>
              <w:rPr>
                <w:sz w:val="18"/>
                <w:szCs w:val="18"/>
              </w:rPr>
            </w:pPr>
            <w:r w:rsidDel="00000000" w:rsidR="00000000" w:rsidRPr="00000000">
              <w:rPr>
                <w:rtl w:val="0"/>
              </w:rPr>
            </w:r>
          </w:p>
          <w:p w:rsidR="00000000" w:rsidDel="00000000" w:rsidP="00000000" w:rsidRDefault="00000000" w:rsidRPr="00000000" w14:paraId="00000070">
            <w:pPr>
              <w:jc w:val="both"/>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1">
            <w:pPr>
              <w:jc w:val="both"/>
              <w:rPr>
                <w:sz w:val="18"/>
                <w:szCs w:val="18"/>
              </w:rPr>
            </w:pPr>
            <w:r w:rsidDel="00000000" w:rsidR="00000000" w:rsidRPr="00000000">
              <w:rPr>
                <w:sz w:val="18"/>
                <w:szCs w:val="18"/>
                <w:rtl w:val="0"/>
              </w:rPr>
              <w:t xml:space="preserve">Capacitación </w:t>
            </w:r>
          </w:p>
          <w:p w:rsidR="00000000" w:rsidDel="00000000" w:rsidP="00000000" w:rsidRDefault="00000000" w:rsidRPr="00000000" w14:paraId="00000072">
            <w:pPr>
              <w:jc w:val="both"/>
              <w:rPr>
                <w:sz w:val="18"/>
                <w:szCs w:val="18"/>
              </w:rPr>
            </w:pPr>
            <w:r w:rsidDel="00000000" w:rsidR="00000000" w:rsidRPr="00000000">
              <w:rPr>
                <w:rtl w:val="0"/>
              </w:rPr>
            </w:r>
          </w:p>
          <w:p w:rsidR="00000000" w:rsidDel="00000000" w:rsidP="00000000" w:rsidRDefault="00000000" w:rsidRPr="00000000" w14:paraId="00000073">
            <w:pPr>
              <w:jc w:val="both"/>
              <w:rPr>
                <w:b w:val="0"/>
                <w:i w:val="1"/>
                <w:sz w:val="18"/>
                <w:szCs w:val="18"/>
              </w:rPr>
            </w:pPr>
            <w:r w:rsidDel="00000000" w:rsidR="00000000" w:rsidRPr="00000000">
              <w:rPr>
                <w:b w:val="0"/>
                <w:i w:val="1"/>
                <w:sz w:val="18"/>
                <w:szCs w:val="18"/>
                <w:rtl w:val="0"/>
              </w:rPr>
              <w:t xml:space="preserve">Conocimiento de guía</w:t>
            </w:r>
          </w:p>
          <w:p w:rsidR="00000000" w:rsidDel="00000000" w:rsidP="00000000" w:rsidRDefault="00000000" w:rsidRPr="00000000" w14:paraId="00000074">
            <w:pPr>
              <w:jc w:val="both"/>
              <w:rPr>
                <w:b w:val="0"/>
                <w:i w:val="1"/>
                <w:sz w:val="18"/>
                <w:szCs w:val="18"/>
              </w:rPr>
            </w:pPr>
            <w:r w:rsidDel="00000000" w:rsidR="00000000" w:rsidRPr="00000000">
              <w:rPr>
                <w:b w:val="0"/>
                <w:i w:val="1"/>
                <w:sz w:val="18"/>
                <w:szCs w:val="18"/>
                <w:rtl w:val="0"/>
              </w:rPr>
              <w:t xml:space="preserve">“Guía Orientaciones para la aplicación de medidas de salud pública no farmacológicas en grupos de la población en situación de vulnerabilidad en el contexto COVID-19</w:t>
            </w:r>
          </w:p>
          <w:p w:rsidR="00000000" w:rsidDel="00000000" w:rsidP="00000000" w:rsidRDefault="00000000" w:rsidRPr="00000000" w14:paraId="00000075">
            <w:pPr>
              <w:jc w:val="both"/>
              <w:rPr>
                <w:b w:val="0"/>
                <w:i w:val="1"/>
                <w:sz w:val="18"/>
                <w:szCs w:val="18"/>
              </w:rPr>
            </w:pPr>
            <w:r w:rsidDel="00000000" w:rsidR="00000000" w:rsidRPr="00000000">
              <w:rPr>
                <w:rtl w:val="0"/>
              </w:rPr>
            </w:r>
          </w:p>
          <w:p w:rsidR="00000000" w:rsidDel="00000000" w:rsidP="00000000" w:rsidRDefault="00000000" w:rsidRPr="00000000" w14:paraId="00000076">
            <w:pPr>
              <w:jc w:val="both"/>
              <w:rPr>
                <w:b w:val="0"/>
                <w:i w:val="1"/>
                <w:sz w:val="18"/>
                <w:szCs w:val="18"/>
              </w:rPr>
            </w:pPr>
            <w:r w:rsidDel="00000000" w:rsidR="00000000" w:rsidRPr="00000000">
              <w:rPr>
                <w:b w:val="0"/>
                <w:i w:val="1"/>
                <w:sz w:val="18"/>
                <w:szCs w:val="18"/>
                <w:rtl w:val="0"/>
              </w:rPr>
              <w:t xml:space="preserve">Consideraciones de la realidad local en la implementación de la guía</w:t>
            </w:r>
          </w:p>
          <w:p w:rsidR="00000000" w:rsidDel="00000000" w:rsidP="00000000" w:rsidRDefault="00000000" w:rsidRPr="00000000" w14:paraId="00000077">
            <w:pPr>
              <w:jc w:val="both"/>
              <w:rPr>
                <w:sz w:val="18"/>
                <w:szCs w:val="18"/>
              </w:rPr>
            </w:pPr>
            <w:r w:rsidDel="00000000" w:rsidR="00000000" w:rsidRPr="00000000">
              <w:rPr>
                <w:rtl w:val="0"/>
              </w:rPr>
            </w:r>
          </w:p>
          <w:p w:rsidR="00000000" w:rsidDel="00000000" w:rsidP="00000000" w:rsidRDefault="00000000" w:rsidRPr="00000000" w14:paraId="00000078">
            <w:pPr>
              <w:jc w:val="both"/>
              <w:rPr>
                <w:sz w:val="18"/>
                <w:szCs w:val="18"/>
              </w:rPr>
            </w:pPr>
            <w:r w:rsidDel="00000000" w:rsidR="00000000" w:rsidRPr="00000000">
              <w:rPr>
                <w:rtl w:val="0"/>
              </w:rPr>
            </w:r>
          </w:p>
        </w:tc>
        <w:tc>
          <w:tcPr/>
          <w:p w:rsidR="00000000" w:rsidDel="00000000" w:rsidP="00000000" w:rsidRDefault="00000000" w:rsidRPr="00000000" w14:paraId="00000079">
            <w:pPr>
              <w:jc w:val="both"/>
              <w:rPr>
                <w:sz w:val="18"/>
                <w:szCs w:val="18"/>
              </w:rPr>
            </w:pPr>
            <w:r w:rsidDel="00000000" w:rsidR="00000000" w:rsidRPr="00000000">
              <w:rPr>
                <w:sz w:val="18"/>
                <w:szCs w:val="18"/>
                <w:rtl w:val="0"/>
              </w:rPr>
              <w:t xml:space="preserve">Conocer las orientaciones entregadas por la OPS asociadas a la utilización de medidas no farmacológicas para la población en situación de vulnerabilidad en el contexto COVID-19.</w:t>
            </w:r>
          </w:p>
        </w:tc>
        <w:tc>
          <w:tcPr/>
          <w:p w:rsidR="00000000" w:rsidDel="00000000" w:rsidP="00000000" w:rsidRDefault="00000000" w:rsidRPr="00000000" w14:paraId="0000007A">
            <w:pPr>
              <w:jc w:val="both"/>
              <w:rPr>
                <w:sz w:val="18"/>
                <w:szCs w:val="18"/>
              </w:rPr>
            </w:pPr>
            <w:r w:rsidDel="00000000" w:rsidR="00000000" w:rsidRPr="00000000">
              <w:rPr>
                <w:sz w:val="18"/>
                <w:szCs w:val="18"/>
                <w:rtl w:val="0"/>
              </w:rPr>
              <w:t xml:space="preserve">Metodología participativa de animación</w:t>
            </w:r>
          </w:p>
          <w:p w:rsidR="00000000" w:rsidDel="00000000" w:rsidP="00000000" w:rsidRDefault="00000000" w:rsidRPr="00000000" w14:paraId="0000007B">
            <w:pPr>
              <w:jc w:val="both"/>
              <w:rPr>
                <w:sz w:val="18"/>
                <w:szCs w:val="18"/>
              </w:rPr>
            </w:pPr>
            <w:r w:rsidDel="00000000" w:rsidR="00000000" w:rsidRPr="00000000">
              <w:rPr>
                <w:rtl w:val="0"/>
              </w:rPr>
            </w:r>
          </w:p>
          <w:p w:rsidR="00000000" w:rsidDel="00000000" w:rsidP="00000000" w:rsidRDefault="00000000" w:rsidRPr="00000000" w14:paraId="0000007C">
            <w:pPr>
              <w:jc w:val="both"/>
              <w:rPr>
                <w:sz w:val="18"/>
                <w:szCs w:val="18"/>
              </w:rPr>
            </w:pPr>
            <w:r w:rsidDel="00000000" w:rsidR="00000000" w:rsidRPr="00000000">
              <w:rPr>
                <w:sz w:val="18"/>
                <w:szCs w:val="18"/>
                <w:rtl w:val="0"/>
              </w:rPr>
              <w:t xml:space="preserve">Clase expositiva Guía-OPS:</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Carga de vulnerabilidad en contexto COVID-19</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Población en situación de vulneración en contexto COVID-19</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Recomendaciones de la guía según grupo poblacional</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Participación comunitaria</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Derechos Humanos para grupos en situación de vulnerabilidad en contexto COVID-19</w:t>
            </w:r>
          </w:p>
          <w:p w:rsidR="00000000" w:rsidDel="00000000" w:rsidP="00000000" w:rsidRDefault="00000000" w:rsidRPr="00000000" w14:paraId="00000082">
            <w:pPr>
              <w:jc w:val="both"/>
              <w:rPr>
                <w:sz w:val="18"/>
                <w:szCs w:val="18"/>
              </w:rPr>
            </w:pPr>
            <w:r w:rsidDel="00000000" w:rsidR="00000000" w:rsidRPr="00000000">
              <w:rPr>
                <w:rtl w:val="0"/>
              </w:rPr>
            </w:r>
          </w:p>
          <w:p w:rsidR="00000000" w:rsidDel="00000000" w:rsidP="00000000" w:rsidRDefault="00000000" w:rsidRPr="00000000" w14:paraId="00000083">
            <w:pPr>
              <w:jc w:val="both"/>
              <w:rPr>
                <w:sz w:val="18"/>
                <w:szCs w:val="18"/>
              </w:rPr>
            </w:pPr>
            <w:r w:rsidDel="00000000" w:rsidR="00000000" w:rsidRPr="00000000">
              <w:rPr>
                <w:sz w:val="18"/>
                <w:szCs w:val="18"/>
                <w:rtl w:val="0"/>
              </w:rPr>
              <w:t xml:space="preserve">Metodología participativa:</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Construcción esquema carga de vulnerabilidad en territorio</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Mapeo de activos</w:t>
            </w:r>
          </w:p>
          <w:p w:rsidR="00000000" w:rsidDel="00000000" w:rsidP="00000000" w:rsidRDefault="00000000" w:rsidRPr="00000000" w14:paraId="00000086">
            <w:pPr>
              <w:jc w:val="both"/>
              <w:rPr>
                <w:sz w:val="18"/>
                <w:szCs w:val="18"/>
              </w:rPr>
            </w:pPr>
            <w:r w:rsidDel="00000000" w:rsidR="00000000" w:rsidRPr="00000000">
              <w:rPr>
                <w:rtl w:val="0"/>
              </w:rPr>
            </w:r>
          </w:p>
        </w:tc>
        <w:tc>
          <w:tcPr/>
          <w:p w:rsidR="00000000" w:rsidDel="00000000" w:rsidP="00000000" w:rsidRDefault="00000000" w:rsidRPr="00000000" w14:paraId="00000087">
            <w:pPr>
              <w:jc w:val="both"/>
              <w:rPr>
                <w:sz w:val="18"/>
                <w:szCs w:val="18"/>
              </w:rPr>
            </w:pPr>
            <w:r w:rsidDel="00000000" w:rsidR="00000000" w:rsidRPr="00000000">
              <w:rPr>
                <w:sz w:val="18"/>
                <w:szCs w:val="18"/>
                <w:rtl w:val="0"/>
              </w:rPr>
              <w:t xml:space="preserve">Comunas Participantes: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Huechuraba</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San Joaquín</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Maipú</w:t>
            </w:r>
          </w:p>
          <w:p w:rsidR="00000000" w:rsidDel="00000000" w:rsidP="00000000" w:rsidRDefault="00000000" w:rsidRPr="00000000" w14:paraId="0000008B">
            <w:pPr>
              <w:jc w:val="both"/>
              <w:rPr>
                <w:sz w:val="18"/>
                <w:szCs w:val="18"/>
              </w:rPr>
            </w:pPr>
            <w:r w:rsidDel="00000000" w:rsidR="00000000" w:rsidRPr="00000000">
              <w:rPr>
                <w:rtl w:val="0"/>
              </w:rPr>
            </w:r>
          </w:p>
          <w:p w:rsidR="00000000" w:rsidDel="00000000" w:rsidP="00000000" w:rsidRDefault="00000000" w:rsidRPr="00000000" w14:paraId="0000008C">
            <w:pPr>
              <w:jc w:val="both"/>
              <w:rPr>
                <w:sz w:val="18"/>
                <w:szCs w:val="18"/>
              </w:rPr>
            </w:pPr>
            <w:r w:rsidDel="00000000" w:rsidR="00000000" w:rsidRPr="00000000">
              <w:rPr>
                <w:sz w:val="18"/>
                <w:szCs w:val="18"/>
                <w:rtl w:val="0"/>
              </w:rPr>
              <w:t xml:space="preserve">Descripción</w:t>
            </w:r>
          </w:p>
          <w:p w:rsidR="00000000" w:rsidDel="00000000" w:rsidP="00000000" w:rsidRDefault="00000000" w:rsidRPr="00000000" w14:paraId="0000008D">
            <w:pPr>
              <w:jc w:val="both"/>
              <w:rPr>
                <w:sz w:val="18"/>
                <w:szCs w:val="18"/>
              </w:rPr>
            </w:pPr>
            <w:r w:rsidDel="00000000" w:rsidR="00000000" w:rsidRPr="00000000">
              <w:rPr>
                <w:rtl w:val="0"/>
              </w:rPr>
            </w:r>
          </w:p>
          <w:p w:rsidR="00000000" w:rsidDel="00000000" w:rsidP="00000000" w:rsidRDefault="00000000" w:rsidRPr="00000000" w14:paraId="0000008E">
            <w:pPr>
              <w:jc w:val="both"/>
              <w:rPr>
                <w:sz w:val="18"/>
                <w:szCs w:val="18"/>
              </w:rPr>
            </w:pPr>
            <w:r w:rsidDel="00000000" w:rsidR="00000000" w:rsidRPr="00000000">
              <w:rPr>
                <w:sz w:val="18"/>
                <w:szCs w:val="18"/>
                <w:rtl w:val="0"/>
              </w:rPr>
              <w:t xml:space="preserve">Se observa entusiasmo en los participantes, participación, diálogo respecto de conceptualizaciones y situaciones reales de los territorios, bastante reflexividad respecto del contexto político y social que se vive en relación con la población en situación de vulnerabilidad.</w:t>
            </w:r>
          </w:p>
          <w:p w:rsidR="00000000" w:rsidDel="00000000" w:rsidP="00000000" w:rsidRDefault="00000000" w:rsidRPr="00000000" w14:paraId="0000008F">
            <w:pPr>
              <w:jc w:val="both"/>
              <w:rPr>
                <w:sz w:val="18"/>
                <w:szCs w:val="18"/>
              </w:rPr>
            </w:pPr>
            <w:r w:rsidDel="00000000" w:rsidR="00000000" w:rsidRPr="00000000">
              <w:rPr>
                <w:sz w:val="18"/>
                <w:szCs w:val="18"/>
                <w:rtl w:val="0"/>
              </w:rPr>
              <w:t xml:space="preserve">El mapeo de activos emerge como herramienta a utilizar, se observa la vinculación real de los equipos con las organizaciones sociales y su conocimiento del territorio.</w:t>
            </w:r>
          </w:p>
          <w:p w:rsidR="00000000" w:rsidDel="00000000" w:rsidP="00000000" w:rsidRDefault="00000000" w:rsidRPr="00000000" w14:paraId="00000090">
            <w:pPr>
              <w:jc w:val="both"/>
              <w:rPr>
                <w:sz w:val="18"/>
                <w:szCs w:val="18"/>
              </w:rPr>
            </w:pPr>
            <w:r w:rsidDel="00000000" w:rsidR="00000000" w:rsidRPr="00000000">
              <w:rPr>
                <w:rtl w:val="0"/>
              </w:rPr>
            </w:r>
          </w:p>
        </w:tc>
        <w:tc>
          <w:tcPr/>
          <w:p w:rsidR="00000000" w:rsidDel="00000000" w:rsidP="00000000" w:rsidRDefault="00000000" w:rsidRPr="00000000" w14:paraId="00000091">
            <w:pPr>
              <w:jc w:val="both"/>
              <w:rPr>
                <w:sz w:val="18"/>
                <w:szCs w:val="18"/>
              </w:rPr>
            </w:pPr>
            <w:r w:rsidDel="00000000" w:rsidR="00000000" w:rsidRPr="00000000">
              <w:rPr>
                <w:sz w:val="18"/>
                <w:szCs w:val="18"/>
                <w:rtl w:val="0"/>
              </w:rPr>
              <w:t xml:space="preserve">Comunas Participantes:</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Petorca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jc w:val="both"/>
              <w:rPr>
                <w:sz w:val="18"/>
                <w:szCs w:val="18"/>
              </w:rPr>
            </w:pPr>
            <w:r w:rsidDel="00000000" w:rsidR="00000000" w:rsidRPr="00000000">
              <w:rPr>
                <w:sz w:val="18"/>
                <w:szCs w:val="18"/>
                <w:rtl w:val="0"/>
              </w:rPr>
              <w:t xml:space="preserve">Descripción</w:t>
            </w:r>
          </w:p>
          <w:p w:rsidR="00000000" w:rsidDel="00000000" w:rsidP="00000000" w:rsidRDefault="00000000" w:rsidRPr="00000000" w14:paraId="00000096">
            <w:pPr>
              <w:jc w:val="both"/>
              <w:rPr>
                <w:sz w:val="18"/>
                <w:szCs w:val="18"/>
              </w:rPr>
            </w:pPr>
            <w:r w:rsidDel="00000000" w:rsidR="00000000" w:rsidRPr="00000000">
              <w:rPr>
                <w:rtl w:val="0"/>
              </w:rPr>
            </w:r>
          </w:p>
          <w:p w:rsidR="00000000" w:rsidDel="00000000" w:rsidP="00000000" w:rsidRDefault="00000000" w:rsidRPr="00000000" w14:paraId="00000097">
            <w:pPr>
              <w:jc w:val="both"/>
              <w:rPr>
                <w:sz w:val="18"/>
                <w:szCs w:val="18"/>
              </w:rPr>
            </w:pPr>
            <w:r w:rsidDel="00000000" w:rsidR="00000000" w:rsidRPr="00000000">
              <w:rPr>
                <w:sz w:val="18"/>
                <w:szCs w:val="18"/>
                <w:rtl w:val="0"/>
              </w:rPr>
              <w:t xml:space="preserve">Elequipo de Petorca, manifiesta amplia participación, desarrollando diálogo y presentando inquietudes respecto de los conceptos, que fueron incorporándose en la plenaria</w:t>
            </w:r>
          </w:p>
          <w:p w:rsidR="00000000" w:rsidDel="00000000" w:rsidP="00000000" w:rsidRDefault="00000000" w:rsidRPr="00000000" w14:paraId="00000098">
            <w:pPr>
              <w:jc w:val="both"/>
              <w:rPr>
                <w:sz w:val="18"/>
                <w:szCs w:val="18"/>
              </w:rPr>
            </w:pPr>
            <w:r w:rsidDel="00000000" w:rsidR="00000000" w:rsidRPr="00000000">
              <w:rPr>
                <w:sz w:val="18"/>
                <w:szCs w:val="18"/>
                <w:rtl w:val="0"/>
              </w:rPr>
              <w:t xml:space="preserve">El mapeo de activos se considera como herramienta a incorporar en la planificación de salud que se llevará a cabo.</w:t>
            </w:r>
          </w:p>
          <w:p w:rsidR="00000000" w:rsidDel="00000000" w:rsidP="00000000" w:rsidRDefault="00000000" w:rsidRPr="00000000" w14:paraId="00000099">
            <w:pPr>
              <w:jc w:val="both"/>
              <w:rPr>
                <w:sz w:val="18"/>
                <w:szCs w:val="18"/>
              </w:rPr>
            </w:pPr>
            <w:r w:rsidDel="00000000" w:rsidR="00000000" w:rsidRPr="00000000">
              <w:rPr>
                <w:rtl w:val="0"/>
              </w:rPr>
            </w:r>
          </w:p>
          <w:p w:rsidR="00000000" w:rsidDel="00000000" w:rsidP="00000000" w:rsidRDefault="00000000" w:rsidRPr="00000000" w14:paraId="0000009A">
            <w:pPr>
              <w:jc w:val="both"/>
              <w:rPr>
                <w:sz w:val="18"/>
                <w:szCs w:val="18"/>
              </w:rPr>
            </w:pPr>
            <w:r w:rsidDel="00000000" w:rsidR="00000000" w:rsidRPr="00000000">
              <w:rPr>
                <w:rtl w:val="0"/>
              </w:rPr>
            </w:r>
          </w:p>
          <w:p w:rsidR="00000000" w:rsidDel="00000000" w:rsidP="00000000" w:rsidRDefault="00000000" w:rsidRPr="00000000" w14:paraId="0000009B">
            <w:pPr>
              <w:jc w:val="both"/>
              <w:rPr>
                <w:sz w:val="18"/>
                <w:szCs w:val="18"/>
              </w:rPr>
            </w:pPr>
            <w:r w:rsidDel="00000000" w:rsidR="00000000" w:rsidRPr="00000000">
              <w:rPr>
                <w:rtl w:val="0"/>
              </w:rPr>
            </w:r>
          </w:p>
          <w:p w:rsidR="00000000" w:rsidDel="00000000" w:rsidP="00000000" w:rsidRDefault="00000000" w:rsidRPr="00000000" w14:paraId="0000009C">
            <w:pPr>
              <w:jc w:val="both"/>
              <w:rPr>
                <w:sz w:val="18"/>
                <w:szCs w:val="18"/>
              </w:rPr>
            </w:pPr>
            <w:r w:rsidDel="00000000" w:rsidR="00000000" w:rsidRPr="00000000">
              <w:rPr>
                <w:rtl w:val="0"/>
              </w:rPr>
            </w:r>
          </w:p>
        </w:tc>
        <w:tc>
          <w:tcPr/>
          <w:p w:rsidR="00000000" w:rsidDel="00000000" w:rsidP="00000000" w:rsidRDefault="00000000" w:rsidRPr="00000000" w14:paraId="0000009D">
            <w:pPr>
              <w:jc w:val="both"/>
              <w:rPr>
                <w:sz w:val="18"/>
                <w:szCs w:val="18"/>
              </w:rPr>
            </w:pPr>
            <w:r w:rsidDel="00000000" w:rsidR="00000000" w:rsidRPr="00000000">
              <w:rPr>
                <w:sz w:val="18"/>
                <w:szCs w:val="18"/>
                <w:rtl w:val="0"/>
              </w:rPr>
              <w:t xml:space="preserve">Comunas Participantes:</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Hualpén</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Tomé</w:t>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Penco</w:t>
            </w:r>
          </w:p>
          <w:p w:rsidR="00000000" w:rsidDel="00000000" w:rsidP="00000000" w:rsidRDefault="00000000" w:rsidRPr="00000000" w14:paraId="000000A1">
            <w:pPr>
              <w:jc w:val="both"/>
              <w:rPr>
                <w:sz w:val="18"/>
                <w:szCs w:val="18"/>
              </w:rPr>
            </w:pPr>
            <w:r w:rsidDel="00000000" w:rsidR="00000000" w:rsidRPr="00000000">
              <w:rPr>
                <w:sz w:val="18"/>
                <w:szCs w:val="18"/>
                <w:rtl w:val="0"/>
              </w:rPr>
              <w:t xml:space="preserve">Descripción</w:t>
            </w:r>
          </w:p>
          <w:p w:rsidR="00000000" w:rsidDel="00000000" w:rsidP="00000000" w:rsidRDefault="00000000" w:rsidRPr="00000000" w14:paraId="000000A2">
            <w:pPr>
              <w:jc w:val="both"/>
              <w:rPr>
                <w:sz w:val="18"/>
                <w:szCs w:val="18"/>
              </w:rPr>
            </w:pPr>
            <w:r w:rsidDel="00000000" w:rsidR="00000000" w:rsidRPr="00000000">
              <w:rPr>
                <w:rtl w:val="0"/>
              </w:rPr>
            </w:r>
          </w:p>
          <w:p w:rsidR="00000000" w:rsidDel="00000000" w:rsidP="00000000" w:rsidRDefault="00000000" w:rsidRPr="00000000" w14:paraId="000000A3">
            <w:pPr>
              <w:jc w:val="both"/>
              <w:rPr>
                <w:sz w:val="18"/>
                <w:szCs w:val="18"/>
              </w:rPr>
            </w:pPr>
            <w:r w:rsidDel="00000000" w:rsidR="00000000" w:rsidRPr="00000000">
              <w:rPr>
                <w:sz w:val="18"/>
                <w:szCs w:val="18"/>
                <w:rtl w:val="0"/>
              </w:rPr>
              <w:t xml:space="preserve">Los Equipos, escuchan atentamente los marcos conceptuales y la alusión a la guía, muestran desconocimiento de esta, sin embargo, se muestran activos en el desarrollo de las técnicas participativas que se desarrollan en forma grupal, se levanta dialogo y se comparten opiniones.</w:t>
            </w:r>
          </w:p>
          <w:p w:rsidR="00000000" w:rsidDel="00000000" w:rsidP="00000000" w:rsidRDefault="00000000" w:rsidRPr="00000000" w14:paraId="000000A4">
            <w:pPr>
              <w:jc w:val="both"/>
              <w:rPr>
                <w:sz w:val="18"/>
                <w:szCs w:val="18"/>
              </w:rPr>
            </w:pPr>
            <w:r w:rsidDel="00000000" w:rsidR="00000000" w:rsidRPr="00000000">
              <w:rPr>
                <w:rtl w:val="0"/>
              </w:rPr>
            </w:r>
          </w:p>
        </w:tc>
      </w:tr>
    </w:tbl>
    <w:p w:rsidR="00000000" w:rsidDel="00000000" w:rsidP="00000000" w:rsidRDefault="00000000" w:rsidRPr="00000000" w14:paraId="000000A5">
      <w:pPr>
        <w:rPr>
          <w:b w:val="1"/>
        </w:rPr>
      </w:pPr>
      <w:r w:rsidDel="00000000" w:rsidR="00000000" w:rsidRPr="00000000">
        <w:rPr>
          <w:b w:val="1"/>
          <w:rtl w:val="0"/>
        </w:rPr>
        <w:t xml:space="preserve">Próximas actividades</w:t>
      </w:r>
    </w:p>
    <w:p w:rsidR="00000000" w:rsidDel="00000000" w:rsidP="00000000" w:rsidRDefault="00000000" w:rsidRPr="00000000" w14:paraId="000000A6">
      <w:pPr>
        <w:jc w:val="both"/>
        <w:rPr/>
      </w:pPr>
      <w:r w:rsidDel="00000000" w:rsidR="00000000" w:rsidRPr="00000000">
        <w:rPr>
          <w:rtl w:val="0"/>
        </w:rPr>
        <w:t xml:space="preserve">Luego de la actividad virtual, a desarrollarse el 24 de noviembre en horas de la mañana, se iniciarán en la primera semana de diciembre, las sesiones correspondientes a la construcción de estrategias (en forma presencial), para lo que se utilizarán nuevamente metodologías participativas y estratégicas, correlacionando lo descrito y aprendido por los equipos en forma previa. </w:t>
      </w:r>
    </w:p>
    <w:p w:rsidR="00000000" w:rsidDel="00000000" w:rsidP="00000000" w:rsidRDefault="00000000" w:rsidRPr="00000000" w14:paraId="000000A7">
      <w:pPr>
        <w:jc w:val="both"/>
        <w:rPr/>
      </w:pPr>
      <w:r w:rsidDel="00000000" w:rsidR="00000000" w:rsidRPr="00000000">
        <w:rPr>
          <w:rtl w:val="0"/>
        </w:rPr>
        <w:t xml:space="preserve">A esto, se espera entregar informe final correspondiente al proceso metodológico empleado, así como a la descripción de levantamiento cualitativo de problematización, conceptualización de poblaciones vulnerables, mapeo de activos en territorio, desafíos de la Atención primaria en el uso de alfabetización en salud y comunicación de riesgo para población en situación de vulnerabilidad, así como las estrategias desarrolladas por los equipos participantes.</w:t>
      </w:r>
    </w:p>
    <w:p w:rsidR="00000000" w:rsidDel="00000000" w:rsidP="00000000" w:rsidRDefault="00000000" w:rsidRPr="00000000" w14:paraId="000000A8">
      <w:pPr>
        <w:jc w:val="both"/>
        <w:rPr/>
      </w:pPr>
      <w:r w:rsidDel="00000000" w:rsidR="00000000" w:rsidRPr="00000000">
        <w:rPr>
          <w:rtl w:val="0"/>
        </w:rPr>
        <w:t xml:space="preserve">Se desarrollarán podcasts en el canal de Spotify del Departamento de Salud Comunitaria denominado “La Salud en Común”, a fin de difundir diálogos y reflexiones desde una mirada territorial y funcional de los equipos de salud. </w:t>
      </w:r>
    </w:p>
    <w:p w:rsidR="00000000" w:rsidDel="00000000" w:rsidP="00000000" w:rsidRDefault="00000000" w:rsidRPr="00000000" w14:paraId="000000A9">
      <w:pPr>
        <w:jc w:val="both"/>
        <w:rPr>
          <w:b w:val="1"/>
        </w:rPr>
      </w:pPr>
      <w:r w:rsidDel="00000000" w:rsidR="00000000" w:rsidRPr="00000000">
        <w:rPr>
          <w:rtl w:val="0"/>
        </w:rPr>
      </w:r>
    </w:p>
    <w:p w:rsidR="00000000" w:rsidDel="00000000" w:rsidP="00000000" w:rsidRDefault="00000000" w:rsidRPr="00000000" w14:paraId="000000AA">
      <w:pPr>
        <w:jc w:val="both"/>
        <w:rPr>
          <w:b w:val="1"/>
        </w:rPr>
      </w:pPr>
      <w:r w:rsidDel="00000000" w:rsidR="00000000" w:rsidRPr="00000000">
        <w:rPr>
          <w:b w:val="1"/>
          <w:rtl w:val="0"/>
        </w:rPr>
        <w:t xml:space="preserve">Primeras conclusiones</w:t>
      </w:r>
    </w:p>
    <w:p w:rsidR="00000000" w:rsidDel="00000000" w:rsidP="00000000" w:rsidRDefault="00000000" w:rsidRPr="00000000" w14:paraId="000000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Guía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“Orientaciones para la aplicación de medidas de salud pública no farmacológicas en grupos en situación de vulnerabilidad en el contexto de la COVID-19”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es conocida por la inmensa mayoría de las y los participantes.</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temáticas que aborda el proyecto no han sido mayoritariamente abordadas en la formación y capacitación previa de las y los funcionarios que integran los equipos de salud participantes.</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equipos participantes reconocen la importancia de la educación y comunicación en salud, y su rol como educadoras/educadores desde los espacios en los que se encuentran trabajando.</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diferentes instancias muestran el interés de los 56 participantes en capacitarse en las medidas no farmacológicas, y participar en estrategias para el abordaje con poblaciones en situaciones de vulnerabilidad.</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bien existen diferencias importantes en la realidad de las siete comunas, existen aspectos en común tanto en lo que refiere a las carencias/necesidades de los equipos de salud como en las potencialidades para su mayor involucramiento.</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estrategia y modalidad de capacitación desarrollada parece resultar exitosa, tanto por las opiniones recogidas por parte de participantes, por la muy escasa deserción de las participantes, como por la opinión de quienes vienen observando el proceso.</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reconoce la trascendencia, por parte de los equipos del involucramiento de la universidad en temáticas de amplio interés social y sanitario.</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pesar de no haber leído la guía mencionada, los equipos de salud han elaborado estrategias locales, dadas sus capacidades y trabajo en equipo, utilizando las fortalezas del sistema de atención primaria de salud.</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resultados de aprendizaje se han cumplido en las sesiones 1 y 2, lo que muestra lo acertado de la metodología propuesta y el interés de los y las participantes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pBdr>
          <w:bottom w:color="000000" w:space="1" w:sz="4" w:val="single"/>
        </w:pBdr>
        <w:jc w:val="both"/>
        <w:rPr>
          <w:b w:val="1"/>
          <w:sz w:val="24"/>
          <w:szCs w:val="24"/>
        </w:rPr>
      </w:pPr>
      <w:r w:rsidDel="00000000" w:rsidR="00000000" w:rsidRPr="00000000">
        <w:rPr>
          <w:b w:val="1"/>
          <w:sz w:val="24"/>
          <w:szCs w:val="24"/>
          <w:rtl w:val="0"/>
        </w:rPr>
        <w:t xml:space="preserve">ANEXO 1</w:t>
      </w:r>
    </w:p>
    <w:p w:rsidR="00000000" w:rsidDel="00000000" w:rsidP="00000000" w:rsidRDefault="00000000" w:rsidRPr="00000000" w14:paraId="000000C9">
      <w:pPr>
        <w:jc w:val="center"/>
        <w:rPr>
          <w:b w:val="1"/>
        </w:rPr>
      </w:pPr>
      <w:r w:rsidDel="00000000" w:rsidR="00000000" w:rsidRPr="00000000">
        <w:rPr>
          <w:b w:val="1"/>
          <w:rtl w:val="0"/>
        </w:rPr>
        <w:t xml:space="preserve">Imágenes de una de las instancias de capacitación</w:t>
      </w:r>
    </w:p>
    <w:p w:rsidR="00000000" w:rsidDel="00000000" w:rsidP="00000000" w:rsidRDefault="00000000" w:rsidRPr="00000000" w14:paraId="000000CA">
      <w:pPr>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281940</wp:posOffset>
            </wp:positionV>
            <wp:extent cx="3200400" cy="2190750"/>
            <wp:effectExtent b="0" l="0" r="0" t="0"/>
            <wp:wrapSquare wrapText="bothSides" distB="0" distT="0" distL="114300" distR="114300"/>
            <wp:docPr descr="Un grupo de personas sentadas en una sala&#10;&#10;Descripción generada automáticamente" id="15" name="image3.jpg"/>
            <a:graphic>
              <a:graphicData uri="http://schemas.openxmlformats.org/drawingml/2006/picture">
                <pic:pic>
                  <pic:nvPicPr>
                    <pic:cNvPr descr="Un grupo de personas sentadas en una sala&#10;&#10;Descripción generada automáticamente" id="0" name="image3.jpg"/>
                    <pic:cNvPicPr preferRelativeResize="0"/>
                  </pic:nvPicPr>
                  <pic:blipFill>
                    <a:blip r:embed="rId7"/>
                    <a:srcRect b="0" l="0" r="0" t="0"/>
                    <a:stretch>
                      <a:fillRect/>
                    </a:stretch>
                  </pic:blipFill>
                  <pic:spPr>
                    <a:xfrm>
                      <a:off x="0" y="0"/>
                      <a:ext cx="3200400" cy="2190750"/>
                    </a:xfrm>
                    <a:prstGeom prst="rect"/>
                    <a:ln/>
                  </pic:spPr>
                </pic:pic>
              </a:graphicData>
            </a:graphic>
          </wp:anchor>
        </w:drawing>
      </w:r>
    </w:p>
    <w:p w:rsidR="00000000" w:rsidDel="00000000" w:rsidP="00000000" w:rsidRDefault="00000000" w:rsidRPr="00000000" w14:paraId="000000CB">
      <w:pPr>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4605655</wp:posOffset>
            </wp:positionH>
            <wp:positionV relativeFrom="paragraph">
              <wp:posOffset>-3809</wp:posOffset>
            </wp:positionV>
            <wp:extent cx="3362325" cy="2240280"/>
            <wp:effectExtent b="0" l="0" r="0" t="0"/>
            <wp:wrapSquare wrapText="bothSides" distB="0" distT="0" distL="114300" distR="114300"/>
            <wp:docPr descr="Un grupo de personas en un salón&#10;&#10;Descripción generada automáticamente" id="14" name="image9.jpg"/>
            <a:graphic>
              <a:graphicData uri="http://schemas.openxmlformats.org/drawingml/2006/picture">
                <pic:pic>
                  <pic:nvPicPr>
                    <pic:cNvPr descr="Un grupo de personas en un salón&#10;&#10;Descripción generada automáticamente" id="0" name="image9.jpg"/>
                    <pic:cNvPicPr preferRelativeResize="0"/>
                  </pic:nvPicPr>
                  <pic:blipFill>
                    <a:blip r:embed="rId8"/>
                    <a:srcRect b="0" l="0" r="0" t="0"/>
                    <a:stretch>
                      <a:fillRect/>
                    </a:stretch>
                  </pic:blipFill>
                  <pic:spPr>
                    <a:xfrm>
                      <a:off x="0" y="0"/>
                      <a:ext cx="3362325" cy="2240280"/>
                    </a:xfrm>
                    <a:prstGeom prst="rect"/>
                    <a:ln/>
                  </pic:spPr>
                </pic:pic>
              </a:graphicData>
            </a:graphic>
          </wp:anchor>
        </w:drawing>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54610</wp:posOffset>
            </wp:positionV>
            <wp:extent cx="3202305" cy="2181225"/>
            <wp:effectExtent b="0" l="0" r="0" t="0"/>
            <wp:wrapSquare wrapText="bothSides" distB="0" distT="0" distL="114300" distR="114300"/>
            <wp:docPr descr="Un grupo de personas sentadas en una sala&#10;&#10;Descripción generada automáticamente" id="25" name="image2.jpg"/>
            <a:graphic>
              <a:graphicData uri="http://schemas.openxmlformats.org/drawingml/2006/picture">
                <pic:pic>
                  <pic:nvPicPr>
                    <pic:cNvPr descr="Un grupo de personas sentadas en una sala&#10;&#10;Descripción generada automáticamente" id="0" name="image2.jpg"/>
                    <pic:cNvPicPr preferRelativeResize="0"/>
                  </pic:nvPicPr>
                  <pic:blipFill>
                    <a:blip r:embed="rId9"/>
                    <a:srcRect b="0" l="0" r="0" t="0"/>
                    <a:stretch>
                      <a:fillRect/>
                    </a:stretch>
                  </pic:blipFill>
                  <pic:spPr>
                    <a:xfrm>
                      <a:off x="0" y="0"/>
                      <a:ext cx="3202305" cy="2181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4596130</wp:posOffset>
            </wp:positionH>
            <wp:positionV relativeFrom="paragraph">
              <wp:posOffset>16510</wp:posOffset>
            </wp:positionV>
            <wp:extent cx="3362325" cy="2240280"/>
            <wp:effectExtent b="0" l="0" r="0" t="0"/>
            <wp:wrapSquare wrapText="bothSides" distB="0" distT="0" distL="114300" distR="114300"/>
            <wp:docPr descr="Un grupo de personas sentadas alrededor de una mesa&#10;&#10;Descripción generada automáticamente" id="22" name="image11.jpg"/>
            <a:graphic>
              <a:graphicData uri="http://schemas.openxmlformats.org/drawingml/2006/picture">
                <pic:pic>
                  <pic:nvPicPr>
                    <pic:cNvPr descr="Un grupo de personas sentadas alrededor de una mesa&#10;&#10;Descripción generada automáticamente" id="0" name="image11.jpg"/>
                    <pic:cNvPicPr preferRelativeResize="0"/>
                  </pic:nvPicPr>
                  <pic:blipFill>
                    <a:blip r:embed="rId10"/>
                    <a:srcRect b="0" l="0" r="0" t="0"/>
                    <a:stretch>
                      <a:fillRect/>
                    </a:stretch>
                  </pic:blipFill>
                  <pic:spPr>
                    <a:xfrm>
                      <a:off x="0" y="0"/>
                      <a:ext cx="3362325" cy="2240280"/>
                    </a:xfrm>
                    <a:prstGeom prst="rect"/>
                    <a:ln/>
                  </pic:spPr>
                </pic:pic>
              </a:graphicData>
            </a:graphic>
          </wp:anchor>
        </w:drawing>
      </w:r>
    </w:p>
    <w:p w:rsidR="00000000" w:rsidDel="00000000" w:rsidP="00000000" w:rsidRDefault="00000000" w:rsidRPr="00000000" w14:paraId="000000D4">
      <w:pPr>
        <w:jc w:val="both"/>
        <w:rPr/>
      </w:pP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tabs>
          <w:tab w:val="left" w:pos="5529"/>
        </w:tabs>
        <w:jc w:val="both"/>
        <w:rPr/>
      </w:pPr>
      <w:r w:rsidDel="00000000" w:rsidR="00000000" w:rsidRPr="00000000">
        <w:rPr/>
        <w:drawing>
          <wp:inline distB="0" distT="0" distL="0" distR="0">
            <wp:extent cx="3037570" cy="2550719"/>
            <wp:effectExtent b="0" l="0" r="0" t="0"/>
            <wp:docPr id="16"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3037570" cy="2550719"/>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3021477" cy="2520520"/>
            <wp:effectExtent b="0" l="0" r="0" t="0"/>
            <wp:docPr id="19" name="image10.jpg"/>
            <a:graphic>
              <a:graphicData uri="http://schemas.openxmlformats.org/drawingml/2006/picture">
                <pic:pic>
                  <pic:nvPicPr>
                    <pic:cNvPr id="0" name="image10.jpg"/>
                    <pic:cNvPicPr preferRelativeResize="0"/>
                  </pic:nvPicPr>
                  <pic:blipFill>
                    <a:blip r:embed="rId12"/>
                    <a:srcRect b="0" l="0" r="0" t="0"/>
                    <a:stretch>
                      <a:fillRect/>
                    </a:stretch>
                  </pic:blipFill>
                  <pic:spPr>
                    <a:xfrm>
                      <a:off x="0" y="0"/>
                      <a:ext cx="3021477" cy="2520520"/>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t xml:space="preserve"> </w:t>
      </w:r>
      <w:r w:rsidDel="00000000" w:rsidR="00000000" w:rsidRPr="00000000">
        <w:rPr/>
        <w:drawing>
          <wp:inline distB="0" distT="0" distL="0" distR="0">
            <wp:extent cx="3546502" cy="2659876"/>
            <wp:effectExtent b="0" l="0" r="0" t="0"/>
            <wp:docPr id="18"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3546502" cy="2659876"/>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3500173" cy="2660702"/>
            <wp:effectExtent b="0" l="0" r="0" t="0"/>
            <wp:docPr id="20" name="image7.jpg"/>
            <a:graphic>
              <a:graphicData uri="http://schemas.openxmlformats.org/drawingml/2006/picture">
                <pic:pic>
                  <pic:nvPicPr>
                    <pic:cNvPr id="0" name="image7.jpg"/>
                    <pic:cNvPicPr preferRelativeResize="0"/>
                  </pic:nvPicPr>
                  <pic:blipFill>
                    <a:blip r:embed="rId14"/>
                    <a:srcRect b="0" l="0" r="0" t="0"/>
                    <a:stretch>
                      <a:fillRect/>
                    </a:stretch>
                  </pic:blipFill>
                  <pic:spPr>
                    <a:xfrm>
                      <a:off x="0" y="0"/>
                      <a:ext cx="3500173" cy="2660702"/>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t xml:space="preserve">                                                     </w:t>
      </w:r>
      <w:r w:rsidDel="00000000" w:rsidR="00000000" w:rsidRPr="00000000">
        <w:rPr/>
        <w:drawing>
          <wp:inline distB="0" distT="0" distL="0" distR="0">
            <wp:extent cx="3237184" cy="2348018"/>
            <wp:effectExtent b="0" l="0" r="0" t="0"/>
            <wp:docPr descr="Hombre parado frente a una laptop&#10;&#10;Descripción generada automáticamente con confianza media" id="24" name="image5.jpg"/>
            <a:graphic>
              <a:graphicData uri="http://schemas.openxmlformats.org/drawingml/2006/picture">
                <pic:pic>
                  <pic:nvPicPr>
                    <pic:cNvPr descr="Hombre parado frente a una laptop&#10;&#10;Descripción generada automáticamente con confianza media" id="0" name="image5.jpg"/>
                    <pic:cNvPicPr preferRelativeResize="0"/>
                  </pic:nvPicPr>
                  <pic:blipFill>
                    <a:blip r:embed="rId15"/>
                    <a:srcRect b="0" l="0" r="0" t="0"/>
                    <a:stretch>
                      <a:fillRect/>
                    </a:stretch>
                  </pic:blipFill>
                  <pic:spPr>
                    <a:xfrm>
                      <a:off x="0" y="0"/>
                      <a:ext cx="3237184" cy="2348018"/>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2541</wp:posOffset>
            </wp:positionH>
            <wp:positionV relativeFrom="paragraph">
              <wp:posOffset>0</wp:posOffset>
            </wp:positionV>
            <wp:extent cx="3231515" cy="2476500"/>
            <wp:effectExtent b="0" l="0" r="0" t="0"/>
            <wp:wrapSquare wrapText="bothSides" distB="0" distT="0" distL="114300" distR="114300"/>
            <wp:docPr id="17" name="image12.jpg"/>
            <a:graphic>
              <a:graphicData uri="http://schemas.openxmlformats.org/drawingml/2006/picture">
                <pic:pic>
                  <pic:nvPicPr>
                    <pic:cNvPr id="0" name="image12.jpg"/>
                    <pic:cNvPicPr preferRelativeResize="0"/>
                  </pic:nvPicPr>
                  <pic:blipFill>
                    <a:blip r:embed="rId16"/>
                    <a:srcRect b="0" l="0" r="0" t="0"/>
                    <a:stretch>
                      <a:fillRect/>
                    </a:stretch>
                  </pic:blipFill>
                  <pic:spPr>
                    <a:xfrm>
                      <a:off x="0" y="0"/>
                      <a:ext cx="3231515" cy="2476500"/>
                    </a:xfrm>
                    <a:prstGeom prst="rect"/>
                    <a:ln/>
                  </pic:spPr>
                </pic:pic>
              </a:graphicData>
            </a:graphic>
          </wp:anchor>
        </w:drawing>
      </w:r>
    </w:p>
    <w:p w:rsidR="00000000" w:rsidDel="00000000" w:rsidP="00000000" w:rsidRDefault="00000000" w:rsidRPr="00000000" w14:paraId="000000DD">
      <w:pPr>
        <w:jc w:val="both"/>
        <w:rPr/>
      </w:pPr>
      <w:r w:rsidDel="00000000" w:rsidR="00000000" w:rsidRPr="00000000">
        <w:rPr>
          <w:rtl w:val="0"/>
        </w:rPr>
        <w:br w:type="textWrapping"/>
      </w:r>
    </w:p>
    <w:p w:rsidR="00000000" w:rsidDel="00000000" w:rsidP="00000000" w:rsidRDefault="00000000" w:rsidRPr="00000000" w14:paraId="000000DE">
      <w:pPr>
        <w:jc w:val="both"/>
        <w:rPr/>
      </w:pPr>
      <w:r w:rsidDel="00000000" w:rsidR="00000000" w:rsidRPr="00000000">
        <w:rPr/>
        <w:drawing>
          <wp:inline distB="0" distT="0" distL="0" distR="0">
            <wp:extent cx="3279778" cy="2459833"/>
            <wp:effectExtent b="0" l="0" r="0" t="0"/>
            <wp:docPr descr="Interfaz de usuario gráfica, Sitio web&#10;&#10;Descripción generada automáticamente" id="21" name="image8.jpg"/>
            <a:graphic>
              <a:graphicData uri="http://schemas.openxmlformats.org/drawingml/2006/picture">
                <pic:pic>
                  <pic:nvPicPr>
                    <pic:cNvPr descr="Interfaz de usuario gráfica, Sitio web&#10;&#10;Descripción generada automáticamente" id="0" name="image8.jpg"/>
                    <pic:cNvPicPr preferRelativeResize="0"/>
                  </pic:nvPicPr>
                  <pic:blipFill>
                    <a:blip r:embed="rId17"/>
                    <a:srcRect b="0" l="0" r="0" t="0"/>
                    <a:stretch>
                      <a:fillRect/>
                    </a:stretch>
                  </pic:blipFill>
                  <pic:spPr>
                    <a:xfrm>
                      <a:off x="0" y="0"/>
                      <a:ext cx="3279778" cy="2459833"/>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3418380" cy="2463420"/>
            <wp:effectExtent b="0" l="0" r="0" t="0"/>
            <wp:docPr id="23" name="image6.jpg"/>
            <a:graphic>
              <a:graphicData uri="http://schemas.openxmlformats.org/drawingml/2006/picture">
                <pic:pic>
                  <pic:nvPicPr>
                    <pic:cNvPr id="0" name="image6.jpg"/>
                    <pic:cNvPicPr preferRelativeResize="0"/>
                  </pic:nvPicPr>
                  <pic:blipFill>
                    <a:blip r:embed="rId18"/>
                    <a:srcRect b="0" l="0" r="0" t="0"/>
                    <a:stretch>
                      <a:fillRect/>
                    </a:stretch>
                  </pic:blipFill>
                  <pic:spPr>
                    <a:xfrm>
                      <a:off x="0" y="0"/>
                      <a:ext cx="3418380" cy="2463420"/>
                    </a:xfrm>
                    <a:prstGeom prst="rect"/>
                    <a:ln/>
                  </pic:spPr>
                </pic:pic>
              </a:graphicData>
            </a:graphic>
          </wp:inline>
        </w:drawing>
      </w:r>
      <w:r w:rsidDel="00000000" w:rsidR="00000000" w:rsidRPr="00000000">
        <w:rPr>
          <w:rtl w:val="0"/>
        </w:rPr>
      </w:r>
    </w:p>
    <w:sectPr>
      <w:pgSz w:h="12240" w:w="15840" w:orient="landscape"/>
      <w:pgMar w:bottom="1701" w:top="170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1A22"/>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4B1A22"/>
    <w:pPr>
      <w:ind w:left="720"/>
      <w:contextualSpacing w:val="1"/>
    </w:pPr>
  </w:style>
  <w:style w:type="table" w:styleId="Tablaconcuadrcula4-nfasis4">
    <w:name w:val="Grid Table 4 Accent 4"/>
    <w:basedOn w:val="Tablanormal"/>
    <w:uiPriority w:val="49"/>
    <w:rsid w:val="004B1A22"/>
    <w:pPr>
      <w:spacing w:after="0" w:line="240" w:lineRule="auto"/>
    </w:pPr>
    <w:tblPr>
      <w:tblStyleRowBandSize w:val="1"/>
      <w:tblStyleColBandSize w:val="1"/>
      <w:tblInd w:w="0.0" w:type="nil"/>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Tablaconcuadrcula2-nfasis2">
    <w:name w:val="Grid Table 2 Accent 2"/>
    <w:basedOn w:val="Tablanormal"/>
    <w:uiPriority w:val="47"/>
    <w:rsid w:val="00AC04D7"/>
    <w:pPr>
      <w:spacing w:after="0" w:line="240" w:lineRule="auto"/>
    </w:pPr>
    <w:tblPr>
      <w:tblStyleRowBandSize w:val="1"/>
      <w:tblStyleColBandSize w:val="1"/>
      <w:tblBorders>
        <w:top w:color="f4b083" w:space="0" w:sz="2" w:themeColor="accent2" w:themeTint="000099" w:val="single"/>
        <w:bottom w:color="f4b083" w:space="0" w:sz="2" w:themeColor="accent2" w:themeTint="000099" w:val="single"/>
        <w:insideH w:color="f4b083" w:space="0" w:sz="2" w:themeColor="accent2" w:themeTint="000099" w:val="single"/>
        <w:insideV w:color="f4b083" w:space="0" w:sz="2" w:themeColor="accent2" w:themeTint="000099" w:val="single"/>
      </w:tblBorders>
    </w:tblPr>
    <w:tblStylePr w:type="firstRow">
      <w:rPr>
        <w:b w:val="1"/>
        <w:bCs w:val="1"/>
      </w:rPr>
      <w:tblPr/>
      <w:tcPr>
        <w:tcBorders>
          <w:top w:space="0" w:sz="0" w:val="nil"/>
          <w:bottom w:color="f4b0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4b0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Encabezado">
    <w:name w:val="header"/>
    <w:basedOn w:val="Normal"/>
    <w:link w:val="EncabezadoCar"/>
    <w:uiPriority w:val="99"/>
    <w:unhideWhenUsed w:val="1"/>
    <w:rsid w:val="00EF2EB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F2EB8"/>
  </w:style>
  <w:style w:type="paragraph" w:styleId="Piedepgina">
    <w:name w:val="footer"/>
    <w:basedOn w:val="Normal"/>
    <w:link w:val="PiedepginaCar"/>
    <w:uiPriority w:val="99"/>
    <w:unhideWhenUsed w:val="1"/>
    <w:rsid w:val="00EF2EB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F2EB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ff2cc" w:val="clear"/>
      </w:tcPr>
    </w:tblStylePr>
    <w:tblStylePr w:type="band1Vert">
      <w:tcPr>
        <w:shd w:fill="fff2cc" w:val="clear"/>
      </w:tcPr>
    </w:tblStylePr>
    <w:tblStylePr w:type="firstCol">
      <w:rPr>
        <w:b w:val="1"/>
      </w:rPr>
    </w:tblStylePr>
    <w:tblStylePr w:type="firstRow">
      <w:rPr>
        <w:b w:val="1"/>
        <w:color w:val="ffffff"/>
      </w:rPr>
      <w:tcPr>
        <w:tcBorders>
          <w:top w:color="ffc000" w:space="0" w:sz="4" w:val="single"/>
          <w:left w:color="ffc000" w:space="0" w:sz="4" w:val="single"/>
          <w:bottom w:color="ffc000" w:space="0" w:sz="4" w:val="single"/>
          <w:right w:color="ffc000" w:space="0" w:sz="4" w:val="single"/>
          <w:insideH w:color="000000" w:space="0" w:sz="0" w:val="nil"/>
          <w:insideV w:color="000000" w:space="0" w:sz="0" w:val="nil"/>
        </w:tcBorders>
        <w:shd w:fill="ffc000" w:val="clear"/>
      </w:tcPr>
    </w:tblStylePr>
    <w:tblStylePr w:type="lastCol">
      <w:rPr>
        <w:b w:val="1"/>
      </w:rPr>
    </w:tblStylePr>
    <w:tblStylePr w:type="lastRow">
      <w:rPr>
        <w:b w:val="1"/>
      </w:rPr>
      <w:tcPr>
        <w:tcBorders>
          <w:top w:color="ffc000"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11.jpg"/><Relationship Id="rId13" Type="http://schemas.openxmlformats.org/officeDocument/2006/relationships/image" Target="media/image4.jpg"/><Relationship Id="rId12" Type="http://schemas.openxmlformats.org/officeDocument/2006/relationships/image" Target="media/image10.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5.jpg"/><Relationship Id="rId14" Type="http://schemas.openxmlformats.org/officeDocument/2006/relationships/image" Target="media/image7.jpg"/><Relationship Id="rId17" Type="http://schemas.openxmlformats.org/officeDocument/2006/relationships/image" Target="media/image8.jpg"/><Relationship Id="rId16" Type="http://schemas.openxmlformats.org/officeDocument/2006/relationships/image" Target="media/image12.jp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6.jpg"/><Relationship Id="rId7" Type="http://schemas.openxmlformats.org/officeDocument/2006/relationships/image" Target="media/image3.jpg"/><Relationship Id="rId8"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nMKWXT50TOvmt+8fWvVO+mSI8A==">AMUW2mXxNNIgDZbiyi4ZupDyBGEEP3Sqxgs2vNhKFq4coL+8a1t1ghsPvxOIt9dHiCABaGiCyoYwIScAh93Eg1d0TiijtcSphIASIMo057JZyCe9ciDXL6g=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2021-11-22T20:20:00Z</dcterms:created>
  <dc:creator>Nicole Lissette Lobos Villatoro</dc:creator>
</cp:coreProperties>
</file>